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44"/>
          <w:szCs w:val="44"/>
          <w:highlight w:val="none"/>
        </w:rPr>
      </w:pPr>
      <w:r>
        <w:rPr>
          <w:rFonts w:hint="eastAsia" w:ascii="宋体" w:hAnsi="宋体"/>
          <w:b/>
          <w:sz w:val="44"/>
          <w:szCs w:val="44"/>
          <w:highlight w:val="none"/>
        </w:rPr>
        <w:t>河北银行存贷合一信用卡领用协议</w:t>
      </w:r>
    </w:p>
    <w:p>
      <w:pPr>
        <w:ind w:firstLine="640" w:firstLineChars="200"/>
        <w:rPr>
          <w:rFonts w:ascii="仿宋_GB2312" w:hAnsi="宋体" w:eastAsia="仿宋_GB2312"/>
          <w:sz w:val="32"/>
          <w:szCs w:val="32"/>
          <w:highlight w:val="none"/>
        </w:rPr>
      </w:pP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河北银行存贷合一信用卡申请人（甲方）与河北银行股份有限公司（乙方）就申领使用河北银行存贷合一信用卡（以下简称信用卡）事宜签订如下协议:</w:t>
      </w:r>
    </w:p>
    <w:p>
      <w:pPr>
        <w:ind w:firstLine="643" w:firstLineChars="200"/>
        <w:outlineLvl w:val="0"/>
        <w:rPr>
          <w:rFonts w:ascii="仿宋_GB2312" w:hAnsi="宋体" w:eastAsia="仿宋_GB2312"/>
          <w:b/>
          <w:sz w:val="32"/>
          <w:szCs w:val="32"/>
          <w:highlight w:val="none"/>
        </w:rPr>
      </w:pPr>
      <w:r>
        <w:rPr>
          <w:rFonts w:hint="eastAsia" w:ascii="仿宋_GB2312" w:hAnsi="宋体" w:eastAsia="仿宋_GB2312"/>
          <w:b/>
          <w:sz w:val="32"/>
          <w:szCs w:val="32"/>
          <w:highlight w:val="none"/>
        </w:rPr>
        <w:t>一、申领</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1、甲方保证向乙方提供的所有申请资料真实、有效、合法。</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2、乙方有权审查甲方的资信状况、索取甲方的个人资料，并有权决定是否向甲方发卡及核定甲方的信用额度并进行动态管理，对未通过发卡申请的甲方资料不予退回。</w:t>
      </w:r>
    </w:p>
    <w:p>
      <w:pPr>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3、如乙方出于为甲方提供与信用卡有关服务的目的，甲方同意乙方将本协议项下有关事务委托第三方处理，或者将其个人资料提供给乙方认为必需的第三方，包括但不限于乙方控股子公司、乙方的服务机构、代理人、外包作业机构等。</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4、甲方领取信用卡后，应立即在卡片背面签名栏内签名，并在用卡时使用该签名。</w:t>
      </w:r>
    </w:p>
    <w:p>
      <w:pPr>
        <w:pStyle w:val="4"/>
        <w:spacing w:before="0" w:beforeAutospacing="0" w:after="0" w:afterAutospacing="0"/>
        <w:ind w:firstLine="640" w:firstLineChars="200"/>
        <w:rPr>
          <w:rFonts w:ascii="仿宋_GB2312" w:eastAsia="仿宋_GB2312" w:cs="Times New Roman"/>
          <w:sz w:val="32"/>
          <w:szCs w:val="32"/>
          <w:highlight w:val="none"/>
        </w:rPr>
      </w:pPr>
      <w:r>
        <w:rPr>
          <w:rFonts w:hint="eastAsia" w:ascii="仿宋_GB2312" w:eastAsia="仿宋_GB2312" w:cs="Times New Roman"/>
          <w:sz w:val="32"/>
          <w:szCs w:val="32"/>
          <w:highlight w:val="none"/>
        </w:rPr>
        <w:t>5、乙方不受理甲方申领信用卡附属卡的申请。</w:t>
      </w:r>
    </w:p>
    <w:p>
      <w:pPr>
        <w:ind w:firstLine="643" w:firstLineChars="200"/>
        <w:outlineLvl w:val="0"/>
        <w:rPr>
          <w:rFonts w:ascii="仿宋_GB2312" w:hAnsi="宋体" w:eastAsia="仿宋_GB2312"/>
          <w:b/>
          <w:sz w:val="32"/>
          <w:szCs w:val="32"/>
          <w:highlight w:val="none"/>
        </w:rPr>
      </w:pPr>
      <w:r>
        <w:rPr>
          <w:rFonts w:hint="eastAsia" w:ascii="仿宋_GB2312" w:hAnsi="宋体" w:eastAsia="仿宋_GB2312"/>
          <w:b/>
          <w:sz w:val="32"/>
          <w:szCs w:val="32"/>
          <w:highlight w:val="none"/>
        </w:rPr>
        <w:t>二、使用</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1、甲方在使用信用卡时，应遵循乙方的业务规定。</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2、如甲方在乙方办理多张信用卡，当其它信用卡已经使用了部分或全部信用额度时，与其它信用卡已使用额度对等的信用卡额度部分不能使用。待其它信用卡的额度清偿后，相应信用卡的额度方可使用。甲方在每一时点的实际可用额度依照乙方规定计算。</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3、甲方因使用信用卡而发生的交易款项、利息和违约金、手续费、年费等各项费用等（以下统称欠款），由乙方在甲方账户内直接记收。甲方承担还款责任，并在对账单所规定的到期还款日或之前还款。甲方不得以未收到对账单为由拒绝向乙方支付欠款。</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4、甲方须妥善保管和正确使用密码，避免使用易被破译的数字，不得将密码透露给其他人。乙方为甲方办理各类交易所产生的电子信息记录均构成该项交易的有效凭据。</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5、甲方同意并授权乙方关闭信用卡的消费类交易功能。</w:t>
      </w:r>
    </w:p>
    <w:p>
      <w:pPr>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6、甲方提取现金时，须按笔支付手续费。取现透支交易不享受免息还款期，乙方自银行记账日起计收欠款利息，日利率为万分之五，按月计收复利。</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7、甲方在境内外通过银联网络取现透支时，每卡每日取现限额按照中国人民银行、国家外汇管理局以及中国银联等机构相关规定执行。甲方累计未还取现金额不得超过乙方为其核定的信用额度的一定比例，具体比例由乙方根据甲方资信情况和用卡情况核定。</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8、乙方为甲方提供信用卡网银服务，甲方同意并认可在激活卡片时由乙方自动为甲方开通。</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9、甲方在自动柜员机（ATM、CRS等）、网点柜面、客服热线语音系统、网上银行以及其它可提供现金服务的机构或渠道使用信用卡提领现金或转账的行为构成信用卡预借现金交易，应按本协议所规定的标准收取预借现金手续费及利息。</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10、乙方可因甲方信用记录良好而调高甲方信用额度或信用卡等级并通过短信、电话等方式通知甲方。甲方明确表示反对的，应在10日内请求乙方恢复，否则视为同意。无论甲方是否接受，甲方对已发生的欠款负有清偿责任。</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11、信用卡在遗失、被窃或被他人占有时，甲方应立即通过乙方客服热线语音系统办理挂失手续，挂失经乙方确认后即时生效。挂失生效后非因甲方原因所产生的债务和损失不再由甲方承担，但因以下情形之一造成的债务和损失除外:</w:t>
      </w:r>
    </w:p>
    <w:p>
      <w:pPr>
        <w:ind w:firstLine="480" w:firstLineChars="150"/>
        <w:rPr>
          <w:rFonts w:ascii="仿宋_GB2312" w:hAnsi="宋体" w:eastAsia="仿宋_GB2312"/>
          <w:sz w:val="32"/>
          <w:szCs w:val="32"/>
          <w:highlight w:val="none"/>
        </w:rPr>
      </w:pPr>
      <w:r>
        <w:rPr>
          <w:rFonts w:hint="eastAsia" w:ascii="仿宋_GB2312" w:hAnsi="宋体" w:eastAsia="仿宋_GB2312"/>
          <w:sz w:val="32"/>
          <w:szCs w:val="32"/>
          <w:highlight w:val="none"/>
        </w:rPr>
        <w:t>（1）挂失手续生效前发生的交易；</w:t>
      </w:r>
    </w:p>
    <w:p>
      <w:pPr>
        <w:ind w:firstLine="480" w:firstLineChars="150"/>
        <w:rPr>
          <w:rFonts w:ascii="仿宋_GB2312" w:hAnsi="宋体" w:eastAsia="仿宋_GB2312"/>
          <w:sz w:val="32"/>
          <w:szCs w:val="32"/>
          <w:highlight w:val="none"/>
        </w:rPr>
      </w:pPr>
      <w:r>
        <w:rPr>
          <w:rFonts w:hint="eastAsia" w:ascii="仿宋_GB2312" w:hAnsi="宋体" w:eastAsia="仿宋_GB2312"/>
          <w:sz w:val="32"/>
          <w:szCs w:val="32"/>
          <w:highlight w:val="none"/>
        </w:rPr>
        <w:t>（2）甲方有欺诈或其它不诚实行为；</w:t>
      </w:r>
    </w:p>
    <w:p>
      <w:pPr>
        <w:ind w:firstLine="480" w:firstLineChars="150"/>
        <w:rPr>
          <w:rFonts w:ascii="仿宋_GB2312" w:hAnsi="宋体" w:eastAsia="仿宋_GB2312"/>
          <w:sz w:val="32"/>
          <w:szCs w:val="32"/>
          <w:highlight w:val="none"/>
        </w:rPr>
      </w:pPr>
      <w:r>
        <w:rPr>
          <w:rFonts w:hint="eastAsia" w:ascii="仿宋_GB2312" w:hAnsi="宋体" w:eastAsia="仿宋_GB2312"/>
          <w:sz w:val="32"/>
          <w:szCs w:val="32"/>
          <w:highlight w:val="none"/>
        </w:rPr>
        <w:t>（3）乙方调查情况，遭甲方拒绝；</w:t>
      </w:r>
    </w:p>
    <w:p>
      <w:pPr>
        <w:ind w:firstLine="480" w:firstLineChars="150"/>
        <w:rPr>
          <w:rFonts w:ascii="仿宋_GB2312" w:hAnsi="宋体" w:eastAsia="仿宋_GB2312"/>
          <w:sz w:val="32"/>
          <w:szCs w:val="32"/>
          <w:highlight w:val="none"/>
        </w:rPr>
      </w:pPr>
      <w:r>
        <w:rPr>
          <w:rFonts w:hint="eastAsia" w:ascii="仿宋_GB2312" w:hAnsi="宋体" w:eastAsia="仿宋_GB2312"/>
          <w:sz w:val="32"/>
          <w:szCs w:val="32"/>
          <w:highlight w:val="none"/>
        </w:rPr>
        <w:t>（4）信用卡无甲方签名。</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12、信用卡挂失换卡后，原信用卡功能能够自动转移到新卡的，该新卡自动取得原信用卡功能；原信用卡功能不能够自动转移到新卡的，甲方应及时到原签约机构办理变更手续。</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13、甲方不再使用信用卡的，应在偿还账户所有欠款、解除卡内所有签约关系后向乙方提出销户申请，乙方在受理销户申请45天后，为甲方办理正式结清手续，甲方应在办理正式结清手续后将同一账户下所有卡片剪角销毁处理。乙方在为甲方办理正式结清手续后，继续保留对甲方账户销户之前及之后发生的欠款的追索权。</w:t>
      </w:r>
    </w:p>
    <w:p>
      <w:pPr>
        <w:ind w:firstLine="643" w:firstLineChars="200"/>
        <w:outlineLvl w:val="0"/>
        <w:rPr>
          <w:rFonts w:ascii="仿宋_GB2312" w:hAnsi="宋体" w:eastAsia="仿宋_GB2312"/>
          <w:b/>
          <w:sz w:val="32"/>
          <w:szCs w:val="32"/>
          <w:highlight w:val="none"/>
        </w:rPr>
      </w:pPr>
      <w:r>
        <w:rPr>
          <w:rFonts w:hint="eastAsia" w:ascii="仿宋_GB2312" w:hAnsi="宋体" w:eastAsia="仿宋_GB2312"/>
          <w:b/>
          <w:sz w:val="32"/>
          <w:szCs w:val="32"/>
          <w:highlight w:val="none"/>
        </w:rPr>
        <w:t>三、利息与费用</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1、甲方应按乙方公布的收费标准（详见《河北银行个人信用卡收费标准》）承担各类费用。</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2、乙方有权依据国家有关规定及业务需要对《河北银行信用卡章程》、信用卡收费项目及标准进行调整，在正式对外公告后，其效力及于本协议，乙方无需另行通知甲方。信用卡的收费项目及标准，均以乙方最新公告为准。</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3、本协议所依据的收费项目或标准的变化，利率的调整等一经公布（包括但不限于营业网点、网站、对账单、电子邮件、客服热线语音系统等方式）即为生效，无须另行通知。</w:t>
      </w:r>
    </w:p>
    <w:p>
      <w:pPr>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四、对账单</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1、甲方账单日应由乙方在发卡函中明确；当甲方的欠款于当期账单日或之前发生变动或尚未清偿，乙方应向甲方寄发当期对账单；自上月结单后，甲方没有任何交易且账户没有任何未偿还余额或甲乙双方另有约定时，乙方可以不向甲方提供对账单。甲方应注意定期查收对账单并主动核对账务，不得以未收到对账单为由拒绝向乙方偿还欠款。</w:t>
      </w:r>
    </w:p>
    <w:p>
      <w:pPr>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2、甲方对对账单内容存有疑义的，应在当期到期还款日前向乙方查询并提出调阅签购单申请，同时应说明理由并按乙方要求提供证明文件。过期查询导致的损失由甲方自行承担。对已提出疑义的交易，甲方仍应按期偿还对账单所列明的应还款额。经乙方查实交易存在的，甲方除应清偿该交易款额并承担可能导致的损失外，还应支付签购单调阅手续费。</w:t>
      </w:r>
    </w:p>
    <w:p>
      <w:pPr>
        <w:ind w:firstLine="643" w:firstLineChars="200"/>
        <w:rPr>
          <w:rFonts w:ascii="仿宋_GB2312" w:hAnsi="宋体" w:eastAsia="仿宋_GB2312"/>
          <w:sz w:val="32"/>
          <w:szCs w:val="32"/>
          <w:highlight w:val="none"/>
        </w:rPr>
      </w:pPr>
      <w:r>
        <w:rPr>
          <w:rFonts w:hint="eastAsia" w:ascii="仿宋_GB2312" w:hAnsi="宋体" w:eastAsia="仿宋_GB2312"/>
          <w:b/>
          <w:sz w:val="32"/>
          <w:szCs w:val="32"/>
          <w:highlight w:val="none"/>
        </w:rPr>
        <w:t>甲方与其它机构发生的交易纠纷应由双方自行解决，乙方不负任何责任，甲方不得以此为由拒绝偿还欠款。</w:t>
      </w:r>
    </w:p>
    <w:p>
      <w:pPr>
        <w:ind w:firstLine="643" w:firstLineChars="200"/>
        <w:outlineLvl w:val="0"/>
        <w:rPr>
          <w:rFonts w:ascii="仿宋_GB2312" w:hAnsi="宋体" w:eastAsia="仿宋_GB2312"/>
          <w:b/>
          <w:sz w:val="32"/>
          <w:szCs w:val="32"/>
          <w:highlight w:val="none"/>
        </w:rPr>
      </w:pPr>
      <w:r>
        <w:rPr>
          <w:rFonts w:hint="eastAsia" w:ascii="仿宋_GB2312" w:hAnsi="宋体" w:eastAsia="仿宋_GB2312"/>
          <w:b/>
          <w:sz w:val="32"/>
          <w:szCs w:val="32"/>
          <w:highlight w:val="none"/>
        </w:rPr>
        <w:t>五、还款</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1、甲方使用信用卡发生的欠款，可选择到乙方营业网点或使用其自助设备、或通过网上银行等渠道主动以相应币种偿还使用信用卡发生的欠款，也可选择约定账户采用自扣还款方式偿还。</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2、甲方选择约定账户采用自扣还款方式时，即授权乙方每月在对账单上所列的“到期还款日”，按当期所列的应还款额，从甲方的约定账户中按约定扣款方式进行扣款。若在该期间内，约定账户可用余额不足扣款金额时，乙方有权将该账户余额全部扣除用来还款，若约定账户发生变化（包括但不限于销户、挂失、冻结等情况，下同），甲方应主动与乙方联系并重新确定新的还款方式。若因约定账户余额不足或账户状态发生变化而导致扣款不成功或扣款金额不足以偿还当期欠款所产生的利息和费用由甲方承担。信用卡发生毁损及挂失补发卡、到期或提前换卡情况的，自扣还款授权的约定账户自动适用于新卡。若需取消或变更约定账户，甲方应于到期还款日前7个工作日办理，否则乙方将无法确保取消或变更能在当期对账单所列明的到期还款日起生效。</w:t>
      </w:r>
    </w:p>
    <w:p>
      <w:pPr>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3、甲方未在到期还款日或之前偿还最低还款额的，除按前款规定计收利息外还须按月支付违约金。</w:t>
      </w:r>
    </w:p>
    <w:p>
      <w:pPr>
        <w:ind w:firstLine="643" w:firstLineChars="200"/>
        <w:outlineLvl w:val="0"/>
        <w:rPr>
          <w:rFonts w:ascii="仿宋_GB2312" w:hAnsi="宋体" w:eastAsia="仿宋_GB2312"/>
          <w:b/>
          <w:sz w:val="32"/>
          <w:szCs w:val="32"/>
          <w:highlight w:val="none"/>
        </w:rPr>
      </w:pPr>
      <w:r>
        <w:rPr>
          <w:rFonts w:hint="eastAsia" w:ascii="仿宋_GB2312" w:hAnsi="宋体" w:eastAsia="仿宋_GB2312"/>
          <w:b/>
          <w:sz w:val="32"/>
          <w:szCs w:val="32"/>
          <w:highlight w:val="none"/>
        </w:rPr>
        <w:t>六、有效期</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信用卡有效期标示在卡片正面，最长为五年，超过有效期卡片即失效。如甲方未在卡片有效期满前一个月书面或电话通知乙方请求终止使用信用卡并办理销户手续，或申办乙方分期产品的最末一期还款年月已超过卡片有效期，均视同甲方同意到期更换新卡。乙方将在卡片到期前一个月为甲方提供自动换卡服务，并计收相应费用，但乙方主动不予更换新卡的，不构成乙方违约。</w:t>
      </w:r>
    </w:p>
    <w:p>
      <w:pPr>
        <w:ind w:firstLine="643" w:firstLineChars="200"/>
        <w:outlineLvl w:val="0"/>
        <w:rPr>
          <w:rFonts w:ascii="仿宋_GB2312" w:hAnsi="宋体" w:eastAsia="仿宋_GB2312"/>
          <w:b/>
          <w:sz w:val="32"/>
          <w:szCs w:val="32"/>
          <w:highlight w:val="none"/>
        </w:rPr>
      </w:pPr>
      <w:r>
        <w:rPr>
          <w:rFonts w:hint="eastAsia" w:ascii="仿宋_GB2312" w:hAnsi="宋体" w:eastAsia="仿宋_GB2312"/>
          <w:b/>
          <w:sz w:val="32"/>
          <w:szCs w:val="32"/>
          <w:highlight w:val="none"/>
        </w:rPr>
        <w:t>七、双方权利义务</w:t>
      </w:r>
    </w:p>
    <w:p>
      <w:pPr>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1、信用卡只限本人使用，甲方应保管好信用卡及信用卡信息，不得转让、出租、出借或以其它方式交由他人使用，否则甲方构成违约，乙方有权收回信用卡，甲方应承担由此产生的各种风险和损失。甲方在互联网上使用信用卡时应采取安全保障措施，防止信息泄露，否则甲方应承担由此产生的后果。</w:t>
      </w:r>
    </w:p>
    <w:p>
      <w:pPr>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2、甲方应按照乙方的规定，按时偿还欠款；甲方不得以与其它第三方的纠纷等为由拒绝支付所欠乙方的款项。如信用卡交易的单据有误或内容不全，但经确认交易确实存在且金额无误的，甲方不得拒绝支付该交易款项。</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3、因不可抗力、供电、通讯、网络、电子设备故障、病毒、黑客攻击、第三方盗取等非乙方原因导致信用卡不能正常使用的，乙方有义务视情况协助甲方解决问题或提供必要的帮助，但不承担责任。对于在交易过程中，因暂时的网络通讯故障或其它原因造成的错账现象，乙方有权根据实际交易情况进行账务处理。</w:t>
      </w:r>
    </w:p>
    <w:p>
      <w:pPr>
        <w:ind w:firstLine="643" w:firstLineChars="200"/>
        <w:rPr>
          <w:rFonts w:ascii="仿宋_GB2312" w:hAnsi="宋体" w:eastAsia="仿宋_GB2312"/>
          <w:sz w:val="32"/>
          <w:szCs w:val="32"/>
          <w:highlight w:val="none"/>
        </w:rPr>
      </w:pPr>
      <w:r>
        <w:rPr>
          <w:rFonts w:hint="eastAsia" w:ascii="仿宋_GB2312" w:hAnsi="宋体" w:eastAsia="仿宋_GB2312"/>
          <w:b/>
          <w:sz w:val="32"/>
          <w:szCs w:val="32"/>
          <w:highlight w:val="none"/>
        </w:rPr>
        <w:t>4、信用卡的所有权归乙方，乙方保留收回或不予发卡的权利；甲方出现以下情形时，乙方无需事先通知或催告甲方，有权降低甲方信用额度、降低甲方信用卡等级、冻结甲方账户、收回、停用、注销甲方信用卡，并可授权所属机构和特约商户没收信用卡，甲方应立即偿还所有欠款，并赔偿乙方受到的损失：</w:t>
      </w:r>
    </w:p>
    <w:p>
      <w:pPr>
        <w:ind w:firstLine="480" w:firstLineChars="150"/>
        <w:rPr>
          <w:rFonts w:ascii="仿宋_GB2312" w:hAnsi="宋体" w:eastAsia="仿宋_GB2312"/>
          <w:sz w:val="32"/>
          <w:szCs w:val="32"/>
          <w:highlight w:val="none"/>
        </w:rPr>
      </w:pPr>
      <w:r>
        <w:rPr>
          <w:rFonts w:hint="eastAsia" w:ascii="仿宋_GB2312" w:hAnsi="宋体" w:eastAsia="仿宋_GB2312"/>
          <w:sz w:val="32"/>
          <w:szCs w:val="32"/>
          <w:highlight w:val="none"/>
        </w:rPr>
        <w:t>（1）甲方违反国家外汇管理的有关规定使用信用卡，或者违反《河北银行信用卡章程》的；</w:t>
      </w:r>
    </w:p>
    <w:p>
      <w:pPr>
        <w:ind w:firstLine="480" w:firstLineChars="150"/>
        <w:rPr>
          <w:rFonts w:ascii="仿宋_GB2312" w:hAnsi="宋体" w:eastAsia="仿宋_GB2312"/>
          <w:sz w:val="32"/>
          <w:szCs w:val="32"/>
          <w:highlight w:val="none"/>
        </w:rPr>
      </w:pPr>
      <w:r>
        <w:rPr>
          <w:rFonts w:hint="eastAsia" w:ascii="仿宋_GB2312" w:hAnsi="宋体" w:eastAsia="仿宋_GB2312"/>
          <w:sz w:val="32"/>
          <w:szCs w:val="32"/>
          <w:highlight w:val="none"/>
        </w:rPr>
        <w:t>（2）甲方违反本协议第一条第一款、第二条第三款、第二条第十三款的；</w:t>
      </w:r>
    </w:p>
    <w:p>
      <w:pPr>
        <w:ind w:firstLine="480" w:firstLineChars="150"/>
        <w:rPr>
          <w:rFonts w:ascii="仿宋_GB2312" w:hAnsi="宋体" w:eastAsia="仿宋_GB2312"/>
          <w:sz w:val="32"/>
          <w:szCs w:val="32"/>
          <w:highlight w:val="none"/>
        </w:rPr>
      </w:pPr>
      <w:r>
        <w:rPr>
          <w:rFonts w:hint="eastAsia" w:ascii="仿宋_GB2312" w:hAnsi="宋体" w:eastAsia="仿宋_GB2312"/>
          <w:sz w:val="32"/>
          <w:szCs w:val="32"/>
          <w:highlight w:val="none"/>
        </w:rPr>
        <w:t>（3）自甲方账户发生欠款后的第一个账单日开始计算，连续三个月未还款或还款未达最低还款额；</w:t>
      </w:r>
    </w:p>
    <w:p>
      <w:pPr>
        <w:ind w:firstLine="480" w:firstLineChars="150"/>
        <w:rPr>
          <w:rFonts w:ascii="仿宋_GB2312" w:hAnsi="宋体" w:eastAsia="仿宋_GB2312"/>
          <w:sz w:val="32"/>
          <w:szCs w:val="32"/>
          <w:highlight w:val="none"/>
        </w:rPr>
      </w:pPr>
      <w:r>
        <w:rPr>
          <w:rFonts w:hint="eastAsia" w:ascii="仿宋_GB2312" w:hAnsi="宋体" w:eastAsia="仿宋_GB2312"/>
          <w:sz w:val="32"/>
          <w:szCs w:val="32"/>
          <w:highlight w:val="none"/>
        </w:rPr>
        <w:t>（4）甲方拒绝或阻碍乙方对其收入或信用情况进行检查的；</w:t>
      </w:r>
    </w:p>
    <w:p>
      <w:pPr>
        <w:ind w:firstLine="480" w:firstLineChars="150"/>
        <w:rPr>
          <w:rFonts w:ascii="仿宋_GB2312" w:hAnsi="宋体" w:eastAsia="仿宋_GB2312"/>
          <w:sz w:val="32"/>
          <w:szCs w:val="32"/>
          <w:highlight w:val="none"/>
        </w:rPr>
      </w:pPr>
      <w:r>
        <w:rPr>
          <w:rFonts w:hint="eastAsia" w:ascii="仿宋_GB2312" w:hAnsi="宋体" w:eastAsia="仿宋_GB2312"/>
          <w:sz w:val="32"/>
          <w:szCs w:val="32"/>
          <w:highlight w:val="none"/>
        </w:rPr>
        <w:t>（5）甲方死亡，而其财产合法继承人不继续履行本协议的；</w:t>
      </w:r>
    </w:p>
    <w:p>
      <w:pPr>
        <w:ind w:firstLine="480" w:firstLineChars="150"/>
        <w:rPr>
          <w:rFonts w:ascii="仿宋_GB2312" w:hAnsi="宋体" w:eastAsia="仿宋_GB2312"/>
          <w:sz w:val="32"/>
          <w:szCs w:val="32"/>
          <w:highlight w:val="none"/>
        </w:rPr>
      </w:pPr>
      <w:r>
        <w:rPr>
          <w:rFonts w:hint="eastAsia" w:ascii="仿宋_GB2312" w:hAnsi="宋体" w:eastAsia="仿宋_GB2312"/>
          <w:sz w:val="32"/>
          <w:szCs w:val="32"/>
          <w:highlight w:val="none"/>
        </w:rPr>
        <w:t>（6）甲方被宣告失踪，而其财产代管人不继续履行本协议的；</w:t>
      </w:r>
    </w:p>
    <w:p>
      <w:pPr>
        <w:ind w:firstLine="480" w:firstLineChars="150"/>
        <w:rPr>
          <w:rFonts w:ascii="仿宋_GB2312" w:hAnsi="宋体" w:eastAsia="仿宋_GB2312"/>
          <w:sz w:val="32"/>
          <w:szCs w:val="32"/>
          <w:highlight w:val="none"/>
        </w:rPr>
      </w:pPr>
      <w:r>
        <w:rPr>
          <w:rFonts w:hint="eastAsia" w:ascii="仿宋_GB2312" w:hAnsi="宋体" w:eastAsia="仿宋_GB2312"/>
          <w:sz w:val="32"/>
          <w:szCs w:val="32"/>
          <w:highlight w:val="none"/>
        </w:rPr>
        <w:t>（7）甲方丧失民事行为能力，而其监护人不继续履行本协议的；</w:t>
      </w:r>
    </w:p>
    <w:p>
      <w:pPr>
        <w:ind w:firstLine="480" w:firstLineChars="150"/>
        <w:rPr>
          <w:rFonts w:ascii="仿宋_GB2312" w:hAnsi="宋体" w:eastAsia="仿宋_GB2312"/>
          <w:sz w:val="32"/>
          <w:szCs w:val="32"/>
          <w:highlight w:val="none"/>
        </w:rPr>
      </w:pPr>
      <w:r>
        <w:rPr>
          <w:rFonts w:hint="eastAsia" w:ascii="仿宋_GB2312" w:hAnsi="宋体" w:eastAsia="仿宋_GB2312"/>
          <w:sz w:val="32"/>
          <w:szCs w:val="32"/>
          <w:highlight w:val="none"/>
        </w:rPr>
        <w:t>（8）甲方卷入或即将卷入重大的诉讼或仲裁程序或其它纠纷，乙方认为可能或已经影响乙方在本协议项下的权益；</w:t>
      </w:r>
    </w:p>
    <w:p>
      <w:pPr>
        <w:ind w:firstLine="480" w:firstLineChars="150"/>
        <w:rPr>
          <w:rFonts w:ascii="仿宋_GB2312" w:hAnsi="宋体" w:eastAsia="仿宋_GB2312"/>
          <w:sz w:val="32"/>
          <w:szCs w:val="32"/>
          <w:highlight w:val="none"/>
        </w:rPr>
      </w:pPr>
      <w:r>
        <w:rPr>
          <w:rFonts w:hint="eastAsia" w:ascii="仿宋_GB2312" w:hAnsi="宋体" w:eastAsia="仿宋_GB2312"/>
          <w:sz w:val="32"/>
          <w:szCs w:val="32"/>
          <w:highlight w:val="none"/>
        </w:rPr>
        <w:t>（9）甲方的资信情况或还款能力出现其它重大变化（包括但不限于工作调整、收入降低、失业、重大疾病、拖欠其它债务等），足以影响还款能力，已经不再符合乙方办理信用卡条件且未追加乙方认可的担保的；</w:t>
      </w:r>
    </w:p>
    <w:p>
      <w:pPr>
        <w:ind w:firstLine="480" w:firstLineChars="150"/>
        <w:rPr>
          <w:rFonts w:ascii="仿宋_GB2312" w:hAnsi="宋体" w:eastAsia="仿宋_GB2312"/>
          <w:sz w:val="32"/>
          <w:szCs w:val="32"/>
          <w:highlight w:val="none"/>
        </w:rPr>
      </w:pPr>
      <w:r>
        <w:rPr>
          <w:rFonts w:hint="eastAsia" w:ascii="仿宋_GB2312" w:hAnsi="宋体" w:eastAsia="仿宋_GB2312"/>
          <w:sz w:val="32"/>
          <w:szCs w:val="32"/>
          <w:highlight w:val="none"/>
        </w:rPr>
        <w:t>（10）乙方获悉甲方出现身份证件等资料被盗用、有非正常用卡行为等风险信息的；</w:t>
      </w:r>
    </w:p>
    <w:p>
      <w:pPr>
        <w:ind w:firstLine="480" w:firstLineChars="150"/>
        <w:rPr>
          <w:rFonts w:ascii="仿宋_GB2312" w:hAnsi="宋体" w:eastAsia="仿宋_GB2312"/>
          <w:sz w:val="32"/>
          <w:szCs w:val="32"/>
          <w:highlight w:val="none"/>
        </w:rPr>
      </w:pPr>
      <w:r>
        <w:rPr>
          <w:rFonts w:hint="eastAsia" w:ascii="仿宋_GB2312" w:hAnsi="宋体" w:eastAsia="仿宋_GB2312"/>
          <w:sz w:val="32"/>
          <w:szCs w:val="32"/>
          <w:highlight w:val="none"/>
        </w:rPr>
        <w:t>（11）乙方认定的其它正当理由或卡片的风险控管因素。</w:t>
      </w:r>
    </w:p>
    <w:p>
      <w:pPr>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5、甲方应按约定使用信用卡，若有利用信用卡涉嫌以虚假交易等方式套取乙方资金等套现行为的，乙方无需事先通知或催告甲方，有权降低甲方信用额度、冻结甲方账户、收回、停用、注销甲方信用卡，甲方应立即偿还所有欠款，并向乙方支付等同于提取虚假交易金额的现金所产生的手续费和利息。</w:t>
      </w:r>
    </w:p>
    <w:p>
      <w:pPr>
        <w:ind w:firstLine="643" w:firstLineChars="200"/>
        <w:rPr>
          <w:rFonts w:hint="eastAsia" w:ascii="仿宋_GB2312" w:hAnsi="宋体" w:eastAsia="仿宋_GB2312"/>
          <w:sz w:val="32"/>
          <w:szCs w:val="32"/>
          <w:highlight w:val="none"/>
        </w:rPr>
      </w:pPr>
      <w:r>
        <w:rPr>
          <w:rFonts w:hint="eastAsia" w:ascii="仿宋_GB2312" w:hAnsi="宋体" w:eastAsia="仿宋_GB2312"/>
          <w:b/>
          <w:sz w:val="32"/>
          <w:szCs w:val="32"/>
          <w:highlight w:val="none"/>
        </w:rPr>
        <w:t>6、甲方未依约还款或者有违规、欺诈行为的，应承担相应的法律责任，乙方有权从甲方在乙方开立的任何账户上扣收任何币种款项、有权行使担保权利或通过司法机关以甲方相关资产用来清偿信用卡欠款，并保留依照法律程序进行追索的权利。</w:t>
      </w:r>
      <w:r>
        <w:rPr>
          <w:rFonts w:hint="eastAsia" w:ascii="仿宋_GB2312" w:hAnsi="宋体" w:eastAsia="仿宋_GB2312"/>
          <w:sz w:val="32"/>
          <w:szCs w:val="32"/>
          <w:highlight w:val="none"/>
        </w:rPr>
        <w:t>如扣划款项为外币，乙方有权按扣收时乙方公布外汇牌价的银行买入价折算成人民币清偿甲方应付款项。</w:t>
      </w:r>
    </w:p>
    <w:p>
      <w:pPr>
        <w:ind w:firstLine="640" w:firstLineChars="200"/>
        <w:rPr>
          <w:rFonts w:hint="eastAsia" w:ascii="仿宋_GB2312" w:hAnsi="宋体" w:eastAsia="仿宋_GB2312"/>
          <w:b w:val="0"/>
          <w:bCs/>
          <w:sz w:val="32"/>
          <w:szCs w:val="32"/>
          <w:highlight w:val="none"/>
          <w:lang w:eastAsia="zh-CN"/>
        </w:rPr>
      </w:pPr>
      <w:r>
        <w:rPr>
          <w:rFonts w:hint="eastAsia" w:ascii="仿宋_GB2312" w:hAnsi="宋体" w:eastAsia="仿宋_GB2312"/>
          <w:sz w:val="32"/>
          <w:szCs w:val="32"/>
          <w:highlight w:val="none"/>
          <w:lang w:val="en-US" w:eastAsia="zh-CN"/>
        </w:rPr>
        <w:t>7、</w:t>
      </w:r>
      <w:r>
        <w:rPr>
          <w:rFonts w:hint="eastAsia" w:ascii="仿宋_GB2312" w:hAnsi="宋体" w:eastAsia="仿宋_GB2312"/>
          <w:b w:val="0"/>
          <w:bCs/>
          <w:sz w:val="32"/>
          <w:szCs w:val="32"/>
          <w:highlight w:val="none"/>
          <w:lang w:eastAsia="zh-CN"/>
        </w:rPr>
        <w:t>在法律法规允许的范围内，乙方有权自行或委托第三方通过电话、信函、手机短信、微信、电子邮件、面访或司法渠道等方式向甲方及担保人直接催缴欠款，向甲方提供给乙方的联系人、近亲属、工作单位及所属基层公共组织或乙方调查到的关联第三方等询问甲方的家庭地址、联系方式等信息，或请其代为转告催缴欠款事宜。当对方提出愿意代偿时，乙方有权将必要的甲方身份信息、欠款账户信息、欠款金额等提供给担保人、联系人、亲友、工作单位及其他代偿意愿人。乙方在实现债权过程中发生的所有费用均由甲方承担，包括但不限于诉讼费、委托费、律师费等。</w:t>
      </w:r>
    </w:p>
    <w:p>
      <w:pPr>
        <w:ind w:firstLine="640" w:firstLineChars="200"/>
        <w:rPr>
          <w:rFonts w:hint="eastAsia" w:ascii="仿宋_GB2312" w:hAnsi="宋体" w:eastAsia="仿宋_GB2312"/>
          <w:sz w:val="32"/>
          <w:szCs w:val="32"/>
          <w:highlight w:val="none"/>
        </w:rPr>
      </w:pPr>
      <w:r>
        <w:rPr>
          <w:rFonts w:hint="eastAsia" w:ascii="仿宋_GB2312" w:hAnsi="宋体" w:eastAsia="仿宋_GB2312"/>
          <w:b w:val="0"/>
          <w:bCs/>
          <w:sz w:val="32"/>
          <w:szCs w:val="32"/>
          <w:highlight w:val="none"/>
          <w:lang w:val="en-US" w:eastAsia="zh-CN"/>
        </w:rPr>
        <w:t>8、</w:t>
      </w:r>
      <w:r>
        <w:rPr>
          <w:rFonts w:hint="eastAsia" w:ascii="仿宋_GB2312" w:hAnsi="宋体" w:eastAsia="仿宋_GB2312"/>
          <w:b w:val="0"/>
          <w:bCs/>
          <w:sz w:val="32"/>
          <w:szCs w:val="32"/>
          <w:highlight w:val="none"/>
          <w:lang w:eastAsia="zh-CN"/>
        </w:rPr>
        <w:t>乙方有权通过新闻媒介实行公告催收，并向社会或有关方面公布具有不良行为的甲方名单，有权向人民法院申请将未履行判决义务的客户纳入失信被执行人名单，由人民法院向社会公示，人民法院可将失信被执行人名单通过报纸、广播、电视、网络、法院公告栏等其他方式予以公布。</w:t>
      </w:r>
    </w:p>
    <w:p>
      <w:pPr>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lang w:val="en-US" w:eastAsia="zh-CN"/>
        </w:rPr>
        <w:t>9</w:t>
      </w:r>
      <w:r>
        <w:rPr>
          <w:rFonts w:hint="eastAsia" w:ascii="仿宋_GB2312" w:hAnsi="宋体" w:eastAsia="仿宋_GB2312"/>
          <w:b/>
          <w:sz w:val="32"/>
          <w:szCs w:val="32"/>
          <w:highlight w:val="none"/>
        </w:rPr>
        <w:t>、甲方有义务按照乙方要求，配合提供和更新甲方信息并对真实性和有效性负责，甲方未按乙方要求提供和更新客户信息，或者甲方存在乙方拒绝接纳的业务情形时，乙方有权利限制甲方交易、中止或终止业务关系，并有权单方面解除本协议。</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lang w:val="en-US" w:eastAsia="zh-CN"/>
        </w:rPr>
        <w:t>10</w:t>
      </w:r>
      <w:r>
        <w:rPr>
          <w:rFonts w:hint="eastAsia" w:ascii="仿宋_GB2312" w:hAnsi="宋体" w:eastAsia="仿宋_GB2312"/>
          <w:sz w:val="32"/>
          <w:szCs w:val="32"/>
          <w:highlight w:val="none"/>
        </w:rPr>
        <w:t>、乙方为甲方的交易累计积分或向甲方提供免费增值服务的，乙方保留变更积分累计规则、增值服务种类及内容或清理积分、终止有关增值服务的权利，且无须事先征得甲方同意；乙方行使此项权利时应进行公告，且公告一经发布即对甲方产生法律效力</w:t>
      </w:r>
      <w:r>
        <w:rPr>
          <w:rFonts w:hint="eastAsia" w:ascii="仿宋_GB2312" w:hAnsi="宋体" w:eastAsia="仿宋_GB2312"/>
          <w:b/>
          <w:sz w:val="32"/>
          <w:szCs w:val="32"/>
          <w:highlight w:val="none"/>
        </w:rPr>
        <w:t>。</w:t>
      </w:r>
    </w:p>
    <w:p>
      <w:pPr>
        <w:ind w:firstLine="643" w:firstLineChars="200"/>
        <w:outlineLvl w:val="0"/>
        <w:rPr>
          <w:rFonts w:ascii="仿宋_GB2312" w:hAnsi="宋体" w:eastAsia="仿宋_GB2312"/>
          <w:b/>
          <w:sz w:val="32"/>
          <w:szCs w:val="32"/>
          <w:highlight w:val="none"/>
        </w:rPr>
      </w:pPr>
      <w:r>
        <w:rPr>
          <w:rFonts w:hint="eastAsia" w:ascii="仿宋_GB2312" w:hAnsi="宋体" w:eastAsia="仿宋_GB2312"/>
          <w:b/>
          <w:sz w:val="32"/>
          <w:szCs w:val="32"/>
          <w:highlight w:val="none"/>
        </w:rPr>
        <w:t>八、信息使用</w:t>
      </w:r>
    </w:p>
    <w:p>
      <w:pPr>
        <w:ind w:firstLine="643" w:firstLineChars="200"/>
        <w:rPr>
          <w:rFonts w:hint="eastAsia" w:ascii="仿宋_GB2312" w:hAnsi="宋体" w:eastAsia="仿宋_GB2312"/>
          <w:b/>
          <w:bCs/>
          <w:sz w:val="32"/>
          <w:szCs w:val="32"/>
          <w:highlight w:val="none"/>
        </w:rPr>
      </w:pPr>
      <w:r>
        <w:rPr>
          <w:rFonts w:hint="eastAsia" w:ascii="仿宋_GB2312" w:hAnsi="宋体" w:eastAsia="仿宋_GB2312"/>
          <w:b/>
          <w:bCs/>
          <w:sz w:val="32"/>
          <w:szCs w:val="32"/>
          <w:highlight w:val="none"/>
        </w:rPr>
        <w:t>乙方有权将甲方的个人信用信息提供给中国人民银行个人信用信息基础数据库或其他依法设立的征信机构。乙方有权向上述中国人民银行个人信用信息基础数据库或其他依法设立的征信机构及试点的征信机构，政府部门或由政府部门授权的其他第三方机构以及其他乙方合作机构等合法渠道查询、留存、使用甲方信用报告中的身份、职业、户籍、学历和居住地址等个人基本信息</w:t>
      </w:r>
      <w:r>
        <w:rPr>
          <w:rFonts w:hint="eastAsia" w:ascii="仿宋_GB2312" w:hAnsi="宋体" w:eastAsia="仿宋_GB2312"/>
          <w:b/>
          <w:bCs/>
          <w:sz w:val="32"/>
          <w:szCs w:val="32"/>
          <w:highlight w:val="none"/>
          <w:lang w:eastAsia="zh-CN"/>
        </w:rPr>
        <w:t>；</w:t>
      </w:r>
      <w:r>
        <w:rPr>
          <w:rFonts w:hint="eastAsia" w:ascii="仿宋_GB2312" w:hAnsi="宋体" w:eastAsia="仿宋_GB2312"/>
          <w:b/>
          <w:bCs/>
          <w:sz w:val="32"/>
          <w:szCs w:val="32"/>
          <w:highlight w:val="none"/>
        </w:rPr>
        <w:t>甲方在个人贷款、各类信用卡和对外担保等信用活动中形成的交易记录等个人信贷信息，个人住房公积金（缴存）等非银行信用信息；互联网金融/小贷公司等借贷信息；个人司法信息。查询获得的信用报告及其他相关信息限用于乙方信用卡审批、额度管理、贷中管理、贷后管理等合法用途范围内。乙方应对甲方提供的有关个人资料予以保密，但乙方内部使用、个人征信使用、法律法规和规章另有规定或甲乙双方另有约定的除外。</w:t>
      </w:r>
    </w:p>
    <w:p>
      <w:pPr>
        <w:ind w:firstLine="643" w:firstLineChars="200"/>
        <w:outlineLvl w:val="0"/>
        <w:rPr>
          <w:rFonts w:ascii="仿宋_GB2312" w:hAnsi="宋体" w:eastAsia="仿宋_GB2312"/>
          <w:b/>
          <w:sz w:val="32"/>
          <w:szCs w:val="32"/>
          <w:highlight w:val="none"/>
        </w:rPr>
      </w:pPr>
      <w:r>
        <w:rPr>
          <w:rFonts w:hint="eastAsia" w:ascii="仿宋_GB2312" w:hAnsi="宋体" w:eastAsia="仿宋_GB2312"/>
          <w:b/>
          <w:sz w:val="32"/>
          <w:szCs w:val="32"/>
          <w:highlight w:val="none"/>
        </w:rPr>
        <w:t>九、通知方式</w:t>
      </w:r>
    </w:p>
    <w:p>
      <w:pPr>
        <w:ind w:firstLine="643" w:firstLineChars="200"/>
        <w:outlineLvl w:val="0"/>
        <w:rPr>
          <w:rFonts w:ascii="仿宋_GB2312" w:hAnsi="宋体" w:eastAsia="仿宋_GB2312"/>
          <w:sz w:val="32"/>
          <w:szCs w:val="32"/>
          <w:highlight w:val="none"/>
        </w:rPr>
      </w:pPr>
      <w:r>
        <w:rPr>
          <w:rFonts w:hint="eastAsia" w:ascii="仿宋_GB2312" w:hAnsi="宋体" w:eastAsia="仿宋_GB2312"/>
          <w:b/>
          <w:sz w:val="32"/>
          <w:szCs w:val="32"/>
          <w:highlight w:val="none"/>
        </w:rPr>
        <w:t>1、</w:t>
      </w:r>
      <w:r>
        <w:rPr>
          <w:rFonts w:hint="eastAsia" w:ascii="仿宋_GB2312" w:hAnsi="宋体" w:eastAsia="仿宋_GB2312"/>
          <w:sz w:val="32"/>
          <w:szCs w:val="32"/>
          <w:highlight w:val="none"/>
        </w:rPr>
        <w:t>甲方确认其在信用卡申请表中填写的通讯地址（包括住宅地址、单位地址）为有效的送达地址。发送给甲方的任何通知只要发往上述任一地址，均视为已送达。</w:t>
      </w:r>
    </w:p>
    <w:p>
      <w:pPr>
        <w:ind w:firstLine="643" w:firstLineChars="200"/>
        <w:outlineLvl w:val="0"/>
        <w:rPr>
          <w:rFonts w:ascii="仿宋_GB2312" w:hAnsi="宋体" w:eastAsia="仿宋_GB2312"/>
          <w:sz w:val="32"/>
          <w:szCs w:val="32"/>
          <w:highlight w:val="none"/>
        </w:rPr>
      </w:pPr>
      <w:r>
        <w:rPr>
          <w:rFonts w:hint="eastAsia" w:ascii="仿宋_GB2312" w:hAnsi="宋体" w:eastAsia="仿宋_GB2312"/>
          <w:b/>
          <w:sz w:val="32"/>
          <w:szCs w:val="32"/>
          <w:highlight w:val="none"/>
        </w:rPr>
        <w:t>2、</w:t>
      </w:r>
      <w:r>
        <w:rPr>
          <w:rFonts w:hint="eastAsia" w:ascii="仿宋_GB2312" w:hAnsi="宋体" w:eastAsia="仿宋_GB2312"/>
          <w:sz w:val="32"/>
          <w:szCs w:val="32"/>
          <w:highlight w:val="none"/>
        </w:rPr>
        <w:t>前款送达地址使用范围包括非诉时各类通知、协议等文件，以及发生纠纷时相关文件和法律文书的送达，同时包括在争议进入仲裁、民事诉讼程序后的一审、二审、再审和执行程序。</w:t>
      </w:r>
    </w:p>
    <w:p>
      <w:pPr>
        <w:ind w:firstLine="643" w:firstLineChars="200"/>
        <w:outlineLvl w:val="0"/>
        <w:rPr>
          <w:rFonts w:ascii="仿宋_GB2312" w:hAnsi="宋体" w:eastAsia="仿宋_GB2312"/>
          <w:sz w:val="32"/>
          <w:szCs w:val="32"/>
          <w:highlight w:val="none"/>
        </w:rPr>
      </w:pPr>
      <w:r>
        <w:rPr>
          <w:rFonts w:hint="eastAsia" w:ascii="仿宋_GB2312" w:hAnsi="宋体" w:eastAsia="仿宋_GB2312"/>
          <w:b/>
          <w:sz w:val="32"/>
          <w:szCs w:val="32"/>
          <w:highlight w:val="none"/>
        </w:rPr>
        <w:t>3、</w:t>
      </w:r>
      <w:r>
        <w:rPr>
          <w:rFonts w:hint="eastAsia" w:ascii="仿宋_GB2312" w:hAnsi="宋体" w:eastAsia="仿宋_GB2312"/>
          <w:sz w:val="32"/>
          <w:szCs w:val="32"/>
          <w:highlight w:val="none"/>
        </w:rPr>
        <w:t>送达地址需要变更时变更方应当通知对方，甲方需要变更时，事前通过书面方式向乙方进行通知；乙方需要变更时，通过书面方式向甲方进行通知。</w:t>
      </w:r>
    </w:p>
    <w:p>
      <w:pPr>
        <w:ind w:firstLine="640" w:firstLineChars="200"/>
        <w:outlineLvl w:val="0"/>
        <w:rPr>
          <w:rFonts w:ascii="仿宋_GB2312" w:hAnsi="宋体" w:eastAsia="仿宋_GB2312"/>
          <w:sz w:val="32"/>
          <w:szCs w:val="32"/>
          <w:highlight w:val="none"/>
        </w:rPr>
      </w:pPr>
      <w:r>
        <w:rPr>
          <w:rFonts w:hint="eastAsia" w:ascii="仿宋_GB2312" w:hAnsi="宋体" w:eastAsia="仿宋_GB2312"/>
          <w:sz w:val="32"/>
          <w:szCs w:val="32"/>
          <w:highlight w:val="none"/>
        </w:rPr>
        <w:t>在仲裁及民事诉讼程序时当事人地址变更时应当向仲裁机构、法院履行送达地址变</w:t>
      </w:r>
      <w:bookmarkStart w:id="0" w:name="_GoBack"/>
      <w:bookmarkEnd w:id="0"/>
      <w:r>
        <w:rPr>
          <w:rFonts w:hint="eastAsia" w:ascii="仿宋_GB2312" w:hAnsi="宋体" w:eastAsia="仿宋_GB2312"/>
          <w:sz w:val="32"/>
          <w:szCs w:val="32"/>
          <w:highlight w:val="none"/>
        </w:rPr>
        <w:t>更通知义务。</w:t>
      </w:r>
    </w:p>
    <w:p>
      <w:pPr>
        <w:ind w:firstLine="640" w:firstLineChars="200"/>
        <w:outlineLvl w:val="0"/>
        <w:rPr>
          <w:rFonts w:ascii="仿宋_GB2312" w:hAnsi="宋体" w:eastAsia="仿宋_GB2312"/>
          <w:sz w:val="32"/>
          <w:szCs w:val="32"/>
          <w:highlight w:val="none"/>
        </w:rPr>
      </w:pPr>
      <w:r>
        <w:rPr>
          <w:rFonts w:hint="eastAsia" w:ascii="仿宋_GB2312" w:hAnsi="宋体" w:eastAsia="仿宋_GB2312"/>
          <w:sz w:val="32"/>
          <w:szCs w:val="32"/>
          <w:highlight w:val="none"/>
        </w:rPr>
        <w:t>甲乙任何一方未按前述方式履行通知义务，双方所确认的送达地址仍视为有效送达地址，履行送达地址变更通知义务的，以变更后的送达地址为有效送达地址。因提供或者确认的送达地址不准确，送达地址变更后未及时依程序告知对方和法院、当事人或指定的接收人拒绝签收等原因，导致通知、协议、法院文书等文件未能被当事人实际接收的，邮寄送达的，以文件退回之日视为送达之日；直接送达的，送达人在送达回证上记明书面情况之日视为送达之日。</w:t>
      </w:r>
    </w:p>
    <w:p>
      <w:pPr>
        <w:ind w:firstLine="640" w:firstLineChars="200"/>
        <w:outlineLvl w:val="0"/>
        <w:rPr>
          <w:rFonts w:ascii="仿宋_GB2312" w:hAnsi="宋体" w:eastAsia="仿宋_GB2312"/>
          <w:sz w:val="32"/>
          <w:szCs w:val="32"/>
          <w:highlight w:val="none"/>
        </w:rPr>
      </w:pPr>
      <w:r>
        <w:rPr>
          <w:rFonts w:hint="eastAsia" w:ascii="仿宋_GB2312" w:hAnsi="宋体" w:eastAsia="仿宋_GB2312"/>
          <w:sz w:val="32"/>
          <w:szCs w:val="32"/>
          <w:highlight w:val="none"/>
        </w:rPr>
        <w:t>对于前述甲乙方明确约定的送达地址，乙方（或其委托的第三方）、法院进行送达时可直接邮寄送达，即使甲方未能收到邮寄送达的文件等，由于在本协议中的约定，也应当视为送达。</w:t>
      </w:r>
    </w:p>
    <w:p>
      <w:pPr>
        <w:ind w:firstLine="643" w:firstLineChars="200"/>
        <w:outlineLvl w:val="0"/>
        <w:rPr>
          <w:rFonts w:ascii="仿宋_GB2312" w:hAnsi="宋体" w:eastAsia="仿宋_GB2312"/>
          <w:sz w:val="32"/>
          <w:szCs w:val="32"/>
          <w:highlight w:val="none"/>
        </w:rPr>
      </w:pPr>
      <w:r>
        <w:rPr>
          <w:rFonts w:hint="eastAsia" w:ascii="仿宋_GB2312" w:hAnsi="宋体" w:eastAsia="仿宋_GB2312"/>
          <w:b/>
          <w:sz w:val="32"/>
          <w:szCs w:val="32"/>
          <w:highlight w:val="none"/>
        </w:rPr>
        <w:t>4、</w:t>
      </w:r>
      <w:r>
        <w:rPr>
          <w:rFonts w:hint="eastAsia" w:ascii="仿宋_GB2312" w:hAnsi="宋体" w:eastAsia="仿宋_GB2312"/>
          <w:sz w:val="32"/>
          <w:szCs w:val="32"/>
          <w:highlight w:val="none"/>
        </w:rPr>
        <w:t>纠纷进入仲裁、民事诉讼程序后，如甲乙方应诉并直接向仲裁机构，法院提交送达地址确认书，该确认地址与诉前确认的送达地址不一致的，以向仲裁机构、法院提交确认的送达地址为准（该送达地址适用上述第3款规定的送达方式及送达的法律后果）。</w:t>
      </w:r>
    </w:p>
    <w:p>
      <w:pPr>
        <w:ind w:firstLine="643" w:firstLineChars="200"/>
        <w:outlineLvl w:val="0"/>
        <w:rPr>
          <w:rFonts w:ascii="仿宋_GB2312" w:hAnsi="宋体" w:eastAsia="仿宋_GB2312"/>
          <w:sz w:val="32"/>
          <w:szCs w:val="32"/>
          <w:highlight w:val="none"/>
        </w:rPr>
      </w:pPr>
      <w:r>
        <w:rPr>
          <w:rFonts w:hint="eastAsia" w:ascii="仿宋_GB2312" w:hAnsi="宋体" w:eastAsia="仿宋_GB2312"/>
          <w:b/>
          <w:sz w:val="32"/>
          <w:szCs w:val="32"/>
          <w:highlight w:val="none"/>
        </w:rPr>
        <w:t>5、</w:t>
      </w:r>
      <w:r>
        <w:rPr>
          <w:rFonts w:hint="eastAsia" w:ascii="仿宋_GB2312" w:hAnsi="宋体" w:eastAsia="仿宋_GB2312"/>
          <w:sz w:val="32"/>
          <w:szCs w:val="32"/>
          <w:highlight w:val="none"/>
        </w:rPr>
        <w:t>甲方如发生工作变动、通讯方式（地址或电话）变更、身份证号码变更等，应于10日内通知乙方更改，否则因此产生的风险、损失和法律责任由甲方承担。</w:t>
      </w:r>
    </w:p>
    <w:p>
      <w:pPr>
        <w:ind w:firstLine="643" w:firstLineChars="200"/>
        <w:outlineLvl w:val="0"/>
        <w:rPr>
          <w:rFonts w:ascii="仿宋_GB2312" w:hAnsi="宋体" w:eastAsia="仿宋_GB2312"/>
          <w:b/>
          <w:sz w:val="32"/>
          <w:szCs w:val="32"/>
          <w:highlight w:val="none"/>
        </w:rPr>
      </w:pPr>
      <w:r>
        <w:rPr>
          <w:rFonts w:hint="eastAsia" w:ascii="仿宋_GB2312" w:hAnsi="宋体" w:eastAsia="仿宋_GB2312"/>
          <w:b/>
          <w:sz w:val="32"/>
          <w:szCs w:val="32"/>
          <w:highlight w:val="none"/>
        </w:rPr>
        <w:t>十、法律适用</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本协议适用中华人民共和国有关法律，未尽事宜依据《河北银行信用卡章程》（及其后续所做修改）、有关业务规定及相关金融惯例办理。甲乙双方在履行协议时发生的争议，由双方协商处理；</w:t>
      </w:r>
      <w:r>
        <w:rPr>
          <w:rFonts w:hint="eastAsia" w:ascii="仿宋_GB2312" w:hAnsi="宋体" w:eastAsia="仿宋_GB2312"/>
          <w:sz w:val="32"/>
          <w:szCs w:val="32"/>
          <w:highlight w:val="none"/>
        </w:rPr>
        <w:t>协商不成，</w:t>
      </w:r>
      <w:r>
        <w:rPr>
          <w:rFonts w:hint="eastAsia" w:ascii="仿宋_GB2312" w:hAnsi="宋体" w:eastAsia="仿宋_GB2312"/>
          <w:color w:val="000000"/>
          <w:sz w:val="32"/>
          <w:szCs w:val="32"/>
          <w:highlight w:val="none"/>
        </w:rPr>
        <w:t>任何一方均可提交甲方具体办理信用卡申领手续的乙方分支机构所在地有管辖权的人民法院诉讼解决</w:t>
      </w:r>
      <w:r>
        <w:rPr>
          <w:rFonts w:hint="eastAsia" w:ascii="仿宋_GB2312" w:hAnsi="宋体" w:eastAsia="仿宋_GB2312"/>
          <w:sz w:val="32"/>
          <w:szCs w:val="32"/>
          <w:highlight w:val="none"/>
        </w:rPr>
        <w:t>。在诉讼期间，本协议不涉及争议部分的条款仍须履行。</w:t>
      </w:r>
    </w:p>
    <w:p>
      <w:pPr>
        <w:ind w:firstLine="643" w:firstLineChars="200"/>
        <w:outlineLvl w:val="0"/>
        <w:rPr>
          <w:rFonts w:ascii="仿宋_GB2312" w:hAnsi="宋体" w:eastAsia="仿宋_GB2312"/>
          <w:b/>
          <w:sz w:val="32"/>
          <w:szCs w:val="32"/>
          <w:highlight w:val="none"/>
        </w:rPr>
      </w:pPr>
      <w:r>
        <w:rPr>
          <w:rFonts w:hint="eastAsia" w:ascii="仿宋_GB2312" w:hAnsi="宋体" w:eastAsia="仿宋_GB2312"/>
          <w:b/>
          <w:sz w:val="32"/>
          <w:szCs w:val="32"/>
          <w:highlight w:val="none"/>
        </w:rPr>
        <w:t>十一、协议生效</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本协议经甲方在申请表上签字认可，自乙方批准甲方申请之日起生效。</w:t>
      </w:r>
    </w:p>
    <w:p>
      <w:pPr>
        <w:ind w:firstLine="643" w:firstLineChars="200"/>
        <w:outlineLvl w:val="0"/>
        <w:rPr>
          <w:rFonts w:ascii="仿宋_GB2312" w:hAnsi="宋体" w:eastAsia="仿宋_GB2312"/>
          <w:b/>
          <w:sz w:val="32"/>
          <w:szCs w:val="32"/>
          <w:highlight w:val="none"/>
        </w:rPr>
      </w:pPr>
      <w:r>
        <w:rPr>
          <w:rFonts w:hint="eastAsia" w:ascii="仿宋_GB2312" w:hAnsi="宋体" w:eastAsia="仿宋_GB2312"/>
          <w:b/>
          <w:sz w:val="32"/>
          <w:szCs w:val="32"/>
          <w:highlight w:val="none"/>
        </w:rPr>
        <w:t>十二、声明条款</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1、甲方知悉并同意遵守《河北银行信用卡章程》（包括此后不时所作的修改），履行本协议。</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2、《河北银行信用卡章程》可在河北银行官方网站www.hebbank.com上查阅。</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3、甲方授权乙方因信用卡审批、贷后管理、异议核查等需要通过中国人民银行个人信用信息基础数据库查询甲方的个人信用报告。如获得授信额度申请通过审批的，甲方同意授权乙方将个人信用信息向中国人民银行个人信用信息基础数据库报送。授权日期自甲方在乙方申请信用卡业务开始之日起生效，至在乙方发生的该笔业务结束之日止。</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4、本协议修改后的条款对甲乙双方具有同等的约束力。</w:t>
      </w:r>
    </w:p>
    <w:p>
      <w:pPr>
        <w:ind w:firstLine="640" w:firstLineChars="200"/>
        <w:rPr>
          <w:rFonts w:ascii="仿宋_GB2312" w:hAnsi="宋体" w:eastAsia="仿宋_GB2312"/>
          <w:kern w:val="0"/>
          <w:sz w:val="32"/>
          <w:szCs w:val="32"/>
          <w:highlight w:val="none"/>
        </w:rPr>
      </w:pPr>
      <w:r>
        <w:rPr>
          <w:rFonts w:hint="eastAsia" w:ascii="仿宋_GB2312" w:hAnsi="宋体" w:eastAsia="仿宋_GB2312"/>
          <w:kern w:val="0"/>
          <w:sz w:val="32"/>
          <w:szCs w:val="32"/>
          <w:highlight w:val="none"/>
        </w:rPr>
        <w:t>5、甲方已详尽阅读并完全知晓和承诺遵守《河北银行信用卡章程》和本协议，包括其中免除或限制乙方责任的条款；乙方已采取合理的方式提请甲方注意关于乙方责任免除或限制的条款，并已经按照甲方的要求对相关条款进行了解释说明。</w:t>
      </w:r>
    </w:p>
    <w:p>
      <w:pPr>
        <w:ind w:firstLine="640" w:firstLineChars="200"/>
        <w:rPr>
          <w:rFonts w:ascii="仿宋_GB2312" w:hAnsi="宋体" w:eastAsia="仿宋_GB2312"/>
          <w:kern w:val="0"/>
          <w:sz w:val="32"/>
          <w:szCs w:val="32"/>
          <w:highlight w:val="none"/>
        </w:rPr>
      </w:pPr>
    </w:p>
    <w:p>
      <w:pPr>
        <w:ind w:firstLine="640" w:firstLineChars="200"/>
        <w:rPr>
          <w:rFonts w:ascii="仿宋_GB2312" w:hAnsi="宋体" w:eastAsia="仿宋_GB2312"/>
          <w:kern w:val="0"/>
          <w:sz w:val="32"/>
          <w:szCs w:val="32"/>
          <w:highlight w:val="none"/>
        </w:rPr>
      </w:pPr>
    </w:p>
    <w:p>
      <w:pPr>
        <w:ind w:firstLine="640" w:firstLineChars="200"/>
        <w:rPr>
          <w:rFonts w:ascii="仿宋_GB2312" w:hAnsi="宋体" w:eastAsia="仿宋_GB2312"/>
          <w:kern w:val="0"/>
          <w:sz w:val="32"/>
          <w:szCs w:val="32"/>
          <w:highlight w:val="none"/>
        </w:rPr>
      </w:pPr>
    </w:p>
    <w:p>
      <w:pPr>
        <w:ind w:firstLine="640" w:firstLineChars="200"/>
        <w:rPr>
          <w:rFonts w:ascii="仿宋_GB2312" w:hAnsi="宋体" w:eastAsia="仿宋_GB2312"/>
          <w:kern w:val="0"/>
          <w:sz w:val="32"/>
          <w:szCs w:val="32"/>
          <w:highlight w:val="none"/>
        </w:rPr>
      </w:pPr>
    </w:p>
    <w:p>
      <w:pPr>
        <w:ind w:firstLine="640" w:firstLineChars="200"/>
        <w:rPr>
          <w:rFonts w:ascii="仿宋_GB2312" w:hAnsi="宋体" w:eastAsia="仿宋_GB2312"/>
          <w:kern w:val="0"/>
          <w:sz w:val="32"/>
          <w:szCs w:val="32"/>
          <w:highlight w:val="none"/>
        </w:rPr>
      </w:pPr>
    </w:p>
    <w:p>
      <w:pPr>
        <w:ind w:firstLine="640" w:firstLineChars="200"/>
        <w:rPr>
          <w:rFonts w:ascii="仿宋_GB2312" w:hAnsi="宋体" w:eastAsia="仿宋_GB2312"/>
          <w:kern w:val="0"/>
          <w:sz w:val="32"/>
          <w:szCs w:val="32"/>
          <w:highlight w:val="none"/>
        </w:rPr>
      </w:pPr>
    </w:p>
    <w:p>
      <w:pPr>
        <w:ind w:firstLine="640" w:firstLineChars="200"/>
        <w:rPr>
          <w:rFonts w:ascii="仿宋_GB2312" w:hAnsi="宋体" w:eastAsia="仿宋_GB2312"/>
          <w:kern w:val="0"/>
          <w:sz w:val="32"/>
          <w:szCs w:val="32"/>
          <w:highlight w:val="none"/>
        </w:rPr>
      </w:pPr>
    </w:p>
    <w:p>
      <w:pPr>
        <w:ind w:firstLine="640" w:firstLineChars="200"/>
        <w:rPr>
          <w:rFonts w:ascii="仿宋_GB2312" w:hAnsi="宋体" w:eastAsia="仿宋_GB2312"/>
          <w:kern w:val="0"/>
          <w:sz w:val="32"/>
          <w:szCs w:val="32"/>
          <w:highlight w:val="none"/>
        </w:rPr>
      </w:pPr>
    </w:p>
    <w:p>
      <w:pPr>
        <w:ind w:firstLine="640" w:firstLineChars="200"/>
        <w:rPr>
          <w:rFonts w:ascii="仿宋_GB2312" w:hAnsi="宋体" w:eastAsia="仿宋_GB2312"/>
          <w:kern w:val="0"/>
          <w:sz w:val="32"/>
          <w:szCs w:val="32"/>
          <w:highlight w:val="none"/>
        </w:rPr>
      </w:pPr>
    </w:p>
    <w:p>
      <w:pPr>
        <w:ind w:firstLine="640" w:firstLineChars="200"/>
        <w:rPr>
          <w:rFonts w:ascii="仿宋_GB2312" w:hAnsi="宋体" w:eastAsia="仿宋_GB2312"/>
          <w:kern w:val="0"/>
          <w:sz w:val="32"/>
          <w:szCs w:val="32"/>
          <w:highlight w:val="none"/>
        </w:rPr>
      </w:pP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957"/>
    <w:rsid w:val="00000A19"/>
    <w:rsid w:val="00001EAA"/>
    <w:rsid w:val="000124B0"/>
    <w:rsid w:val="00014C4F"/>
    <w:rsid w:val="000160A2"/>
    <w:rsid w:val="00017510"/>
    <w:rsid w:val="00021E7E"/>
    <w:rsid w:val="00024B0C"/>
    <w:rsid w:val="000302B5"/>
    <w:rsid w:val="00032EEF"/>
    <w:rsid w:val="0003621D"/>
    <w:rsid w:val="00040455"/>
    <w:rsid w:val="00041EF6"/>
    <w:rsid w:val="00046104"/>
    <w:rsid w:val="00054108"/>
    <w:rsid w:val="000555B0"/>
    <w:rsid w:val="000559CD"/>
    <w:rsid w:val="000559D5"/>
    <w:rsid w:val="000607AC"/>
    <w:rsid w:val="00061988"/>
    <w:rsid w:val="000636C2"/>
    <w:rsid w:val="00065315"/>
    <w:rsid w:val="00070963"/>
    <w:rsid w:val="00077EF7"/>
    <w:rsid w:val="000826D1"/>
    <w:rsid w:val="00083060"/>
    <w:rsid w:val="000903EB"/>
    <w:rsid w:val="00092450"/>
    <w:rsid w:val="00092DC8"/>
    <w:rsid w:val="00096EB2"/>
    <w:rsid w:val="000972DA"/>
    <w:rsid w:val="000A049A"/>
    <w:rsid w:val="000B5B10"/>
    <w:rsid w:val="000C18FA"/>
    <w:rsid w:val="000D0BBC"/>
    <w:rsid w:val="000D4C0F"/>
    <w:rsid w:val="000E60BA"/>
    <w:rsid w:val="000E65AE"/>
    <w:rsid w:val="000F533A"/>
    <w:rsid w:val="00102285"/>
    <w:rsid w:val="00103244"/>
    <w:rsid w:val="00103C8E"/>
    <w:rsid w:val="00105991"/>
    <w:rsid w:val="001065BC"/>
    <w:rsid w:val="00107C4F"/>
    <w:rsid w:val="00116B35"/>
    <w:rsid w:val="0011711C"/>
    <w:rsid w:val="001256CE"/>
    <w:rsid w:val="0012732E"/>
    <w:rsid w:val="00133F33"/>
    <w:rsid w:val="001365B8"/>
    <w:rsid w:val="00140360"/>
    <w:rsid w:val="001416C9"/>
    <w:rsid w:val="00141C61"/>
    <w:rsid w:val="001470BC"/>
    <w:rsid w:val="001508FF"/>
    <w:rsid w:val="0015189A"/>
    <w:rsid w:val="00152CCE"/>
    <w:rsid w:val="00156E1A"/>
    <w:rsid w:val="0016103B"/>
    <w:rsid w:val="0016476D"/>
    <w:rsid w:val="00166CB6"/>
    <w:rsid w:val="00181336"/>
    <w:rsid w:val="00190897"/>
    <w:rsid w:val="0019266E"/>
    <w:rsid w:val="001B06A0"/>
    <w:rsid w:val="001B0A18"/>
    <w:rsid w:val="001B2493"/>
    <w:rsid w:val="001B345A"/>
    <w:rsid w:val="001B3C98"/>
    <w:rsid w:val="001B7460"/>
    <w:rsid w:val="001C0B3D"/>
    <w:rsid w:val="001C4293"/>
    <w:rsid w:val="001C48AF"/>
    <w:rsid w:val="001C5998"/>
    <w:rsid w:val="001C5D32"/>
    <w:rsid w:val="001C6F53"/>
    <w:rsid w:val="001D423F"/>
    <w:rsid w:val="001D5DF0"/>
    <w:rsid w:val="001D69CC"/>
    <w:rsid w:val="001E30C7"/>
    <w:rsid w:val="001E51CD"/>
    <w:rsid w:val="001E5666"/>
    <w:rsid w:val="001E605C"/>
    <w:rsid w:val="001F1725"/>
    <w:rsid w:val="001F223B"/>
    <w:rsid w:val="001F29AC"/>
    <w:rsid w:val="002032FF"/>
    <w:rsid w:val="00205E89"/>
    <w:rsid w:val="0020668B"/>
    <w:rsid w:val="002130ED"/>
    <w:rsid w:val="00221C8A"/>
    <w:rsid w:val="00227691"/>
    <w:rsid w:val="00231725"/>
    <w:rsid w:val="002349E7"/>
    <w:rsid w:val="0023599D"/>
    <w:rsid w:val="00236CE4"/>
    <w:rsid w:val="00237438"/>
    <w:rsid w:val="00245CC3"/>
    <w:rsid w:val="00246E01"/>
    <w:rsid w:val="0024766A"/>
    <w:rsid w:val="00251520"/>
    <w:rsid w:val="0026041A"/>
    <w:rsid w:val="00261578"/>
    <w:rsid w:val="00265D5B"/>
    <w:rsid w:val="00265D90"/>
    <w:rsid w:val="00267AF8"/>
    <w:rsid w:val="00270AFA"/>
    <w:rsid w:val="00271BFC"/>
    <w:rsid w:val="00273739"/>
    <w:rsid w:val="002773DB"/>
    <w:rsid w:val="00277C99"/>
    <w:rsid w:val="0028341E"/>
    <w:rsid w:val="00293109"/>
    <w:rsid w:val="0029357F"/>
    <w:rsid w:val="002A4E0C"/>
    <w:rsid w:val="002A5CB7"/>
    <w:rsid w:val="002B409E"/>
    <w:rsid w:val="002C22EB"/>
    <w:rsid w:val="002C2B37"/>
    <w:rsid w:val="002C494F"/>
    <w:rsid w:val="002E0676"/>
    <w:rsid w:val="002E212B"/>
    <w:rsid w:val="002E2343"/>
    <w:rsid w:val="002F091F"/>
    <w:rsid w:val="002F0AA5"/>
    <w:rsid w:val="002F2DAE"/>
    <w:rsid w:val="002F3AF7"/>
    <w:rsid w:val="002F63DA"/>
    <w:rsid w:val="002F7888"/>
    <w:rsid w:val="00302AB2"/>
    <w:rsid w:val="00304604"/>
    <w:rsid w:val="00304B59"/>
    <w:rsid w:val="00304D27"/>
    <w:rsid w:val="00305557"/>
    <w:rsid w:val="00307229"/>
    <w:rsid w:val="00307688"/>
    <w:rsid w:val="00312388"/>
    <w:rsid w:val="00314073"/>
    <w:rsid w:val="00316F93"/>
    <w:rsid w:val="00322D59"/>
    <w:rsid w:val="00324A9F"/>
    <w:rsid w:val="003252FD"/>
    <w:rsid w:val="00335BB3"/>
    <w:rsid w:val="00340061"/>
    <w:rsid w:val="00342F3E"/>
    <w:rsid w:val="003579D8"/>
    <w:rsid w:val="00364AAA"/>
    <w:rsid w:val="00365310"/>
    <w:rsid w:val="003668C8"/>
    <w:rsid w:val="00366CB5"/>
    <w:rsid w:val="0037013F"/>
    <w:rsid w:val="0037170C"/>
    <w:rsid w:val="00372B42"/>
    <w:rsid w:val="00373031"/>
    <w:rsid w:val="00374E6D"/>
    <w:rsid w:val="003974B9"/>
    <w:rsid w:val="003A1655"/>
    <w:rsid w:val="003A6003"/>
    <w:rsid w:val="003A6E68"/>
    <w:rsid w:val="003A729D"/>
    <w:rsid w:val="003B1D5E"/>
    <w:rsid w:val="003B2555"/>
    <w:rsid w:val="003B2B1C"/>
    <w:rsid w:val="003B3259"/>
    <w:rsid w:val="003C128E"/>
    <w:rsid w:val="003C3F41"/>
    <w:rsid w:val="003C7EF4"/>
    <w:rsid w:val="003D517F"/>
    <w:rsid w:val="003E12C3"/>
    <w:rsid w:val="003E49BB"/>
    <w:rsid w:val="003F2075"/>
    <w:rsid w:val="003F2191"/>
    <w:rsid w:val="00405B9C"/>
    <w:rsid w:val="00406568"/>
    <w:rsid w:val="004135B5"/>
    <w:rsid w:val="004137D3"/>
    <w:rsid w:val="004150B7"/>
    <w:rsid w:val="0041656F"/>
    <w:rsid w:val="00422FE3"/>
    <w:rsid w:val="0042604A"/>
    <w:rsid w:val="004319C9"/>
    <w:rsid w:val="00432795"/>
    <w:rsid w:val="00436A61"/>
    <w:rsid w:val="004378F7"/>
    <w:rsid w:val="00451034"/>
    <w:rsid w:val="0045489C"/>
    <w:rsid w:val="00455C7D"/>
    <w:rsid w:val="00455D6C"/>
    <w:rsid w:val="004572A7"/>
    <w:rsid w:val="004602BE"/>
    <w:rsid w:val="00463D5D"/>
    <w:rsid w:val="004662F9"/>
    <w:rsid w:val="00467085"/>
    <w:rsid w:val="004731CA"/>
    <w:rsid w:val="004761F4"/>
    <w:rsid w:val="00480AA5"/>
    <w:rsid w:val="00481780"/>
    <w:rsid w:val="00481AB4"/>
    <w:rsid w:val="00484B73"/>
    <w:rsid w:val="00492C1A"/>
    <w:rsid w:val="004A3739"/>
    <w:rsid w:val="004B2B0D"/>
    <w:rsid w:val="004B4FEA"/>
    <w:rsid w:val="004C5120"/>
    <w:rsid w:val="004D23EF"/>
    <w:rsid w:val="004E0E45"/>
    <w:rsid w:val="004E26AE"/>
    <w:rsid w:val="004E7885"/>
    <w:rsid w:val="004F5BF2"/>
    <w:rsid w:val="005008C4"/>
    <w:rsid w:val="00501714"/>
    <w:rsid w:val="00504725"/>
    <w:rsid w:val="00505D3C"/>
    <w:rsid w:val="00514C21"/>
    <w:rsid w:val="00514C3A"/>
    <w:rsid w:val="00516A7C"/>
    <w:rsid w:val="00522976"/>
    <w:rsid w:val="0052375E"/>
    <w:rsid w:val="00526632"/>
    <w:rsid w:val="00533B87"/>
    <w:rsid w:val="00534F17"/>
    <w:rsid w:val="005353B9"/>
    <w:rsid w:val="00540C20"/>
    <w:rsid w:val="005479DA"/>
    <w:rsid w:val="00552893"/>
    <w:rsid w:val="00565767"/>
    <w:rsid w:val="0058387B"/>
    <w:rsid w:val="005865AB"/>
    <w:rsid w:val="00594023"/>
    <w:rsid w:val="005A02D2"/>
    <w:rsid w:val="005B1197"/>
    <w:rsid w:val="005B1FFF"/>
    <w:rsid w:val="005B540A"/>
    <w:rsid w:val="005C36BF"/>
    <w:rsid w:val="005C5B03"/>
    <w:rsid w:val="005C5D67"/>
    <w:rsid w:val="005C7C97"/>
    <w:rsid w:val="005D0C7E"/>
    <w:rsid w:val="005D452D"/>
    <w:rsid w:val="005E4D89"/>
    <w:rsid w:val="005E7B57"/>
    <w:rsid w:val="005F34CD"/>
    <w:rsid w:val="005F5B36"/>
    <w:rsid w:val="005F5CCD"/>
    <w:rsid w:val="00606D03"/>
    <w:rsid w:val="00612783"/>
    <w:rsid w:val="0061616C"/>
    <w:rsid w:val="0061621E"/>
    <w:rsid w:val="00620363"/>
    <w:rsid w:val="00624AD3"/>
    <w:rsid w:val="00627B67"/>
    <w:rsid w:val="0063198F"/>
    <w:rsid w:val="00631FB0"/>
    <w:rsid w:val="0063243B"/>
    <w:rsid w:val="00632CDA"/>
    <w:rsid w:val="00636A09"/>
    <w:rsid w:val="006403FD"/>
    <w:rsid w:val="0064155D"/>
    <w:rsid w:val="00642261"/>
    <w:rsid w:val="00644B59"/>
    <w:rsid w:val="006453B9"/>
    <w:rsid w:val="00656713"/>
    <w:rsid w:val="00663F39"/>
    <w:rsid w:val="006674DC"/>
    <w:rsid w:val="006718C8"/>
    <w:rsid w:val="0067233A"/>
    <w:rsid w:val="00675ECD"/>
    <w:rsid w:val="00676633"/>
    <w:rsid w:val="006843CC"/>
    <w:rsid w:val="00686A62"/>
    <w:rsid w:val="00693542"/>
    <w:rsid w:val="006972F4"/>
    <w:rsid w:val="00697C25"/>
    <w:rsid w:val="006A6D52"/>
    <w:rsid w:val="006B0821"/>
    <w:rsid w:val="006B326C"/>
    <w:rsid w:val="006B5474"/>
    <w:rsid w:val="006B6AF1"/>
    <w:rsid w:val="006C493F"/>
    <w:rsid w:val="006C56DE"/>
    <w:rsid w:val="006C76A4"/>
    <w:rsid w:val="006D1D93"/>
    <w:rsid w:val="006E0617"/>
    <w:rsid w:val="006E5DCB"/>
    <w:rsid w:val="006F0D72"/>
    <w:rsid w:val="00700D8C"/>
    <w:rsid w:val="0070210F"/>
    <w:rsid w:val="0072258B"/>
    <w:rsid w:val="00731EB7"/>
    <w:rsid w:val="00735158"/>
    <w:rsid w:val="00736AC0"/>
    <w:rsid w:val="00737A58"/>
    <w:rsid w:val="00746B63"/>
    <w:rsid w:val="00755470"/>
    <w:rsid w:val="00756EC4"/>
    <w:rsid w:val="00770DFD"/>
    <w:rsid w:val="0077425D"/>
    <w:rsid w:val="007761B4"/>
    <w:rsid w:val="00780028"/>
    <w:rsid w:val="00780164"/>
    <w:rsid w:val="007850FF"/>
    <w:rsid w:val="00786D92"/>
    <w:rsid w:val="0079336B"/>
    <w:rsid w:val="00795CD2"/>
    <w:rsid w:val="007A3C2C"/>
    <w:rsid w:val="007A5212"/>
    <w:rsid w:val="007A53C6"/>
    <w:rsid w:val="007B04CA"/>
    <w:rsid w:val="007B208C"/>
    <w:rsid w:val="007B503D"/>
    <w:rsid w:val="007B6B7D"/>
    <w:rsid w:val="007C7A63"/>
    <w:rsid w:val="007D4658"/>
    <w:rsid w:val="007D5CEA"/>
    <w:rsid w:val="007D6CB5"/>
    <w:rsid w:val="007D72AC"/>
    <w:rsid w:val="007E1AB7"/>
    <w:rsid w:val="007E1E8D"/>
    <w:rsid w:val="007E2A0A"/>
    <w:rsid w:val="007E3A5C"/>
    <w:rsid w:val="007E459F"/>
    <w:rsid w:val="007F0295"/>
    <w:rsid w:val="0081125C"/>
    <w:rsid w:val="00811857"/>
    <w:rsid w:val="0081303F"/>
    <w:rsid w:val="00820551"/>
    <w:rsid w:val="00821070"/>
    <w:rsid w:val="008236A6"/>
    <w:rsid w:val="00824560"/>
    <w:rsid w:val="00825C99"/>
    <w:rsid w:val="00830129"/>
    <w:rsid w:val="00830568"/>
    <w:rsid w:val="00831EF3"/>
    <w:rsid w:val="0083315D"/>
    <w:rsid w:val="008340DC"/>
    <w:rsid w:val="00837900"/>
    <w:rsid w:val="00840957"/>
    <w:rsid w:val="0085020A"/>
    <w:rsid w:val="008533F0"/>
    <w:rsid w:val="008572B2"/>
    <w:rsid w:val="00863C3D"/>
    <w:rsid w:val="008705C8"/>
    <w:rsid w:val="00873248"/>
    <w:rsid w:val="008A09BA"/>
    <w:rsid w:val="008A2936"/>
    <w:rsid w:val="008A6102"/>
    <w:rsid w:val="008B30A5"/>
    <w:rsid w:val="008B47EE"/>
    <w:rsid w:val="008B79E3"/>
    <w:rsid w:val="008C1CD7"/>
    <w:rsid w:val="008C39B3"/>
    <w:rsid w:val="008C42C7"/>
    <w:rsid w:val="008C55CB"/>
    <w:rsid w:val="008C6970"/>
    <w:rsid w:val="008E0F0A"/>
    <w:rsid w:val="008E1720"/>
    <w:rsid w:val="008E49CE"/>
    <w:rsid w:val="008F2431"/>
    <w:rsid w:val="008F3F77"/>
    <w:rsid w:val="00902499"/>
    <w:rsid w:val="00905E61"/>
    <w:rsid w:val="00907A60"/>
    <w:rsid w:val="00911528"/>
    <w:rsid w:val="0091430D"/>
    <w:rsid w:val="009222CB"/>
    <w:rsid w:val="0092318B"/>
    <w:rsid w:val="009240C7"/>
    <w:rsid w:val="009246E3"/>
    <w:rsid w:val="00925B34"/>
    <w:rsid w:val="00936534"/>
    <w:rsid w:val="00941223"/>
    <w:rsid w:val="0094222E"/>
    <w:rsid w:val="00946BA7"/>
    <w:rsid w:val="00962E36"/>
    <w:rsid w:val="00966160"/>
    <w:rsid w:val="009678B5"/>
    <w:rsid w:val="009732EE"/>
    <w:rsid w:val="00976BF1"/>
    <w:rsid w:val="009778A5"/>
    <w:rsid w:val="00980738"/>
    <w:rsid w:val="00980E8F"/>
    <w:rsid w:val="009842C7"/>
    <w:rsid w:val="00985906"/>
    <w:rsid w:val="00990F94"/>
    <w:rsid w:val="009944C7"/>
    <w:rsid w:val="009A39C0"/>
    <w:rsid w:val="009A4485"/>
    <w:rsid w:val="009A50D6"/>
    <w:rsid w:val="009A554F"/>
    <w:rsid w:val="009B53E5"/>
    <w:rsid w:val="009C1510"/>
    <w:rsid w:val="009C4257"/>
    <w:rsid w:val="009C5BDC"/>
    <w:rsid w:val="009C782C"/>
    <w:rsid w:val="009C7C6F"/>
    <w:rsid w:val="009D54E4"/>
    <w:rsid w:val="009E01A6"/>
    <w:rsid w:val="009E65D9"/>
    <w:rsid w:val="009E7D93"/>
    <w:rsid w:val="009F0B01"/>
    <w:rsid w:val="00A028C6"/>
    <w:rsid w:val="00A0799B"/>
    <w:rsid w:val="00A11988"/>
    <w:rsid w:val="00A11A09"/>
    <w:rsid w:val="00A12470"/>
    <w:rsid w:val="00A125E8"/>
    <w:rsid w:val="00A21477"/>
    <w:rsid w:val="00A33061"/>
    <w:rsid w:val="00A3705F"/>
    <w:rsid w:val="00A40EFB"/>
    <w:rsid w:val="00A42901"/>
    <w:rsid w:val="00A442F0"/>
    <w:rsid w:val="00A57F89"/>
    <w:rsid w:val="00A6125A"/>
    <w:rsid w:val="00A62D22"/>
    <w:rsid w:val="00A66A20"/>
    <w:rsid w:val="00A71819"/>
    <w:rsid w:val="00A84A8E"/>
    <w:rsid w:val="00A91414"/>
    <w:rsid w:val="00A94268"/>
    <w:rsid w:val="00A943BC"/>
    <w:rsid w:val="00A96552"/>
    <w:rsid w:val="00AA0090"/>
    <w:rsid w:val="00AA08B5"/>
    <w:rsid w:val="00AA0A8B"/>
    <w:rsid w:val="00AB1705"/>
    <w:rsid w:val="00AB3A37"/>
    <w:rsid w:val="00AB7CFF"/>
    <w:rsid w:val="00AB7D47"/>
    <w:rsid w:val="00AC6825"/>
    <w:rsid w:val="00AD0CFA"/>
    <w:rsid w:val="00AD2DBF"/>
    <w:rsid w:val="00AE03C9"/>
    <w:rsid w:val="00AE401B"/>
    <w:rsid w:val="00AE4807"/>
    <w:rsid w:val="00AF44BE"/>
    <w:rsid w:val="00AF48B2"/>
    <w:rsid w:val="00AF552A"/>
    <w:rsid w:val="00B002A8"/>
    <w:rsid w:val="00B03E7A"/>
    <w:rsid w:val="00B05302"/>
    <w:rsid w:val="00B05899"/>
    <w:rsid w:val="00B06414"/>
    <w:rsid w:val="00B0654D"/>
    <w:rsid w:val="00B13060"/>
    <w:rsid w:val="00B17238"/>
    <w:rsid w:val="00B240FC"/>
    <w:rsid w:val="00B303FB"/>
    <w:rsid w:val="00B31C89"/>
    <w:rsid w:val="00B32797"/>
    <w:rsid w:val="00B32A5F"/>
    <w:rsid w:val="00B52CCA"/>
    <w:rsid w:val="00B53D67"/>
    <w:rsid w:val="00B61F50"/>
    <w:rsid w:val="00B64B6E"/>
    <w:rsid w:val="00B65D0B"/>
    <w:rsid w:val="00B70B1F"/>
    <w:rsid w:val="00B72B75"/>
    <w:rsid w:val="00B82D24"/>
    <w:rsid w:val="00B87AE4"/>
    <w:rsid w:val="00B92AAD"/>
    <w:rsid w:val="00B95059"/>
    <w:rsid w:val="00B96F0B"/>
    <w:rsid w:val="00B96FB6"/>
    <w:rsid w:val="00B974AF"/>
    <w:rsid w:val="00B97C2C"/>
    <w:rsid w:val="00BB4BC8"/>
    <w:rsid w:val="00BC2352"/>
    <w:rsid w:val="00BC28D8"/>
    <w:rsid w:val="00BD0A6D"/>
    <w:rsid w:val="00BD35E8"/>
    <w:rsid w:val="00BD5B52"/>
    <w:rsid w:val="00BE0BF4"/>
    <w:rsid w:val="00BE434B"/>
    <w:rsid w:val="00BF0F26"/>
    <w:rsid w:val="00C06264"/>
    <w:rsid w:val="00C13D12"/>
    <w:rsid w:val="00C170FA"/>
    <w:rsid w:val="00C23408"/>
    <w:rsid w:val="00C23C67"/>
    <w:rsid w:val="00C27727"/>
    <w:rsid w:val="00C316AF"/>
    <w:rsid w:val="00C35A64"/>
    <w:rsid w:val="00C37FF7"/>
    <w:rsid w:val="00C44EE2"/>
    <w:rsid w:val="00C526FB"/>
    <w:rsid w:val="00C55817"/>
    <w:rsid w:val="00C55E50"/>
    <w:rsid w:val="00C57371"/>
    <w:rsid w:val="00C7281B"/>
    <w:rsid w:val="00C72CB1"/>
    <w:rsid w:val="00C7454A"/>
    <w:rsid w:val="00C82BDC"/>
    <w:rsid w:val="00C84A09"/>
    <w:rsid w:val="00C859EE"/>
    <w:rsid w:val="00C87101"/>
    <w:rsid w:val="00CA4A63"/>
    <w:rsid w:val="00CA614F"/>
    <w:rsid w:val="00CA7523"/>
    <w:rsid w:val="00CB2A19"/>
    <w:rsid w:val="00CB66C3"/>
    <w:rsid w:val="00CB6712"/>
    <w:rsid w:val="00CB77BE"/>
    <w:rsid w:val="00CC307A"/>
    <w:rsid w:val="00CC7029"/>
    <w:rsid w:val="00CD02C6"/>
    <w:rsid w:val="00CD2723"/>
    <w:rsid w:val="00CD3FCB"/>
    <w:rsid w:val="00CF1A71"/>
    <w:rsid w:val="00CF1C82"/>
    <w:rsid w:val="00D0285C"/>
    <w:rsid w:val="00D02AAB"/>
    <w:rsid w:val="00D03E1B"/>
    <w:rsid w:val="00D047C0"/>
    <w:rsid w:val="00D06BC7"/>
    <w:rsid w:val="00D12777"/>
    <w:rsid w:val="00D14DD6"/>
    <w:rsid w:val="00D40C4B"/>
    <w:rsid w:val="00D455AC"/>
    <w:rsid w:val="00D47D60"/>
    <w:rsid w:val="00D53C1D"/>
    <w:rsid w:val="00D53C99"/>
    <w:rsid w:val="00D55265"/>
    <w:rsid w:val="00D8162C"/>
    <w:rsid w:val="00D959D0"/>
    <w:rsid w:val="00D97581"/>
    <w:rsid w:val="00DB08D3"/>
    <w:rsid w:val="00DB1AFD"/>
    <w:rsid w:val="00DB3B79"/>
    <w:rsid w:val="00DB7649"/>
    <w:rsid w:val="00DB7BCE"/>
    <w:rsid w:val="00DC27C3"/>
    <w:rsid w:val="00DC4A60"/>
    <w:rsid w:val="00DC5F8D"/>
    <w:rsid w:val="00DD1334"/>
    <w:rsid w:val="00DE1B7D"/>
    <w:rsid w:val="00DE602F"/>
    <w:rsid w:val="00DF0971"/>
    <w:rsid w:val="00DF3D1C"/>
    <w:rsid w:val="00DF6115"/>
    <w:rsid w:val="00E00114"/>
    <w:rsid w:val="00E0285F"/>
    <w:rsid w:val="00E02A37"/>
    <w:rsid w:val="00E035B1"/>
    <w:rsid w:val="00E0366F"/>
    <w:rsid w:val="00E11BD2"/>
    <w:rsid w:val="00E220D2"/>
    <w:rsid w:val="00E2487D"/>
    <w:rsid w:val="00E3029D"/>
    <w:rsid w:val="00E3035A"/>
    <w:rsid w:val="00E32775"/>
    <w:rsid w:val="00E3531B"/>
    <w:rsid w:val="00E36161"/>
    <w:rsid w:val="00E40002"/>
    <w:rsid w:val="00E422D8"/>
    <w:rsid w:val="00E4251F"/>
    <w:rsid w:val="00E52A66"/>
    <w:rsid w:val="00E53DCB"/>
    <w:rsid w:val="00E54251"/>
    <w:rsid w:val="00E56B1F"/>
    <w:rsid w:val="00E57B16"/>
    <w:rsid w:val="00E60126"/>
    <w:rsid w:val="00E61EE8"/>
    <w:rsid w:val="00E63CA6"/>
    <w:rsid w:val="00E8138D"/>
    <w:rsid w:val="00E85640"/>
    <w:rsid w:val="00E91554"/>
    <w:rsid w:val="00E92A75"/>
    <w:rsid w:val="00EA0960"/>
    <w:rsid w:val="00EA2601"/>
    <w:rsid w:val="00EA3905"/>
    <w:rsid w:val="00EA4DE1"/>
    <w:rsid w:val="00EA629C"/>
    <w:rsid w:val="00EA7D16"/>
    <w:rsid w:val="00EB2DDB"/>
    <w:rsid w:val="00EB4F87"/>
    <w:rsid w:val="00EC0122"/>
    <w:rsid w:val="00EC08B4"/>
    <w:rsid w:val="00EC2BC9"/>
    <w:rsid w:val="00EC3207"/>
    <w:rsid w:val="00EC3715"/>
    <w:rsid w:val="00EC3CC6"/>
    <w:rsid w:val="00ED2514"/>
    <w:rsid w:val="00ED6F70"/>
    <w:rsid w:val="00EE129E"/>
    <w:rsid w:val="00EE1FBF"/>
    <w:rsid w:val="00EE25E5"/>
    <w:rsid w:val="00EE6956"/>
    <w:rsid w:val="00EE6D6D"/>
    <w:rsid w:val="00EE6EAE"/>
    <w:rsid w:val="00EF0FCD"/>
    <w:rsid w:val="00EF2C13"/>
    <w:rsid w:val="00EF3A4B"/>
    <w:rsid w:val="00EF3CCF"/>
    <w:rsid w:val="00F1154E"/>
    <w:rsid w:val="00F14872"/>
    <w:rsid w:val="00F23AB4"/>
    <w:rsid w:val="00F26F4E"/>
    <w:rsid w:val="00F30490"/>
    <w:rsid w:val="00F30545"/>
    <w:rsid w:val="00F338FA"/>
    <w:rsid w:val="00F358C2"/>
    <w:rsid w:val="00F435E8"/>
    <w:rsid w:val="00F47F74"/>
    <w:rsid w:val="00F5209D"/>
    <w:rsid w:val="00F527A8"/>
    <w:rsid w:val="00F53FED"/>
    <w:rsid w:val="00F61B63"/>
    <w:rsid w:val="00F62702"/>
    <w:rsid w:val="00F67CB2"/>
    <w:rsid w:val="00F807B1"/>
    <w:rsid w:val="00F85142"/>
    <w:rsid w:val="00F86958"/>
    <w:rsid w:val="00F874FE"/>
    <w:rsid w:val="00F93322"/>
    <w:rsid w:val="00F9793F"/>
    <w:rsid w:val="00F97986"/>
    <w:rsid w:val="00F97EF4"/>
    <w:rsid w:val="00FA2AC1"/>
    <w:rsid w:val="00FA2DA1"/>
    <w:rsid w:val="00FA5B24"/>
    <w:rsid w:val="00FA7433"/>
    <w:rsid w:val="00FB170D"/>
    <w:rsid w:val="00FB2F85"/>
    <w:rsid w:val="00FB50BF"/>
    <w:rsid w:val="00FC3FBE"/>
    <w:rsid w:val="00FD131A"/>
    <w:rsid w:val="00FE1520"/>
    <w:rsid w:val="00FE600D"/>
    <w:rsid w:val="00FE72CD"/>
    <w:rsid w:val="00FF3291"/>
    <w:rsid w:val="00FF5CBC"/>
    <w:rsid w:val="00FF5F70"/>
    <w:rsid w:val="00FF7576"/>
    <w:rsid w:val="1ED32FBA"/>
    <w:rsid w:val="341760BE"/>
    <w:rsid w:val="36ED1F30"/>
    <w:rsid w:val="6F153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0"/>
    <w:pPr>
      <w:widowControl/>
      <w:spacing w:before="100" w:beforeAutospacing="1" w:after="100" w:afterAutospacing="1"/>
      <w:jc w:val="left"/>
    </w:pPr>
    <w:rPr>
      <w:rFonts w:ascii="宋体" w:hAnsi="宋体" w:cs="宋体"/>
      <w:kern w:val="0"/>
      <w:sz w:val="24"/>
    </w:rPr>
  </w:style>
  <w:style w:type="character" w:customStyle="1" w:styleId="7">
    <w:name w:val="页眉 Char"/>
    <w:basedOn w:val="6"/>
    <w:link w:val="3"/>
    <w:uiPriority w:val="99"/>
    <w:rPr>
      <w:rFonts w:ascii="Times New Roman" w:hAnsi="Times New Roman" w:eastAsia="宋体" w:cs="Times New Roman"/>
      <w:sz w:val="18"/>
      <w:szCs w:val="18"/>
    </w:rPr>
  </w:style>
  <w:style w:type="character" w:customStyle="1" w:styleId="8">
    <w:name w:val="页脚 Char"/>
    <w:basedOn w:val="6"/>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861</Words>
  <Characters>4911</Characters>
  <Lines>40</Lines>
  <Paragraphs>11</Paragraphs>
  <TotalTime>0</TotalTime>
  <ScaleCrop>false</ScaleCrop>
  <LinksUpToDate>false</LinksUpToDate>
  <CharactersWithSpaces>5761</CharactersWithSpaces>
  <Application>WPS Office_11.8.2.8509_F1E327BC-269C-435d-A152-05C5408002CA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2019-11-11T03:02:00Z</dcterms:created>
  <dc:creator>石振国</dc:creator>
  <cp:lastModifiedBy>李慧娟1</cp:lastModifiedBy>
  <dcterms:modified xsi:type="dcterms:W3CDTF">2020-01-15T03:44:03Z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2052-11.8.2.8509</vt:lpwstr>
  </property>
</Properties>
</file>