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480" w:lineRule="auto"/>
        <w:ind w:right="420" w:rightChars="200"/>
        <w:jc w:val="center"/>
        <w:rPr>
          <w:rFonts w:hint="eastAsia" w:ascii="楷体_GB2312" w:eastAsia="楷体_GB2312"/>
          <w:b/>
          <w:sz w:val="24"/>
          <w:highlight w:val="none"/>
        </w:rPr>
      </w:pPr>
      <w:r>
        <w:rPr>
          <w:rFonts w:hint="eastAsia" w:ascii="楷体_GB2312" w:eastAsia="楷体_GB2312"/>
          <w:b/>
          <w:sz w:val="24"/>
          <w:highlight w:val="none"/>
        </w:rPr>
        <w:t xml:space="preserve">敬  请  注  意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2" w:firstLineChars="200"/>
        <w:jc w:val="both"/>
        <w:textAlignment w:val="auto"/>
        <w:rPr>
          <w:rFonts w:hint="eastAsia" w:ascii="楷体_GB2312" w:eastAsia="楷体_GB2312"/>
          <w:b/>
          <w:sz w:val="24"/>
          <w:highlight w:val="none"/>
        </w:rPr>
      </w:pPr>
      <w:r>
        <w:rPr>
          <w:rFonts w:hint="eastAsia" w:ascii="楷体_GB2312" w:eastAsia="楷体_GB2312"/>
          <w:b/>
          <w:sz w:val="24"/>
          <w:highlight w:val="none"/>
        </w:rPr>
        <w:t xml:space="preserve">为了维护您的合法权益，请在签署本合同之前，确认您已知悉本业务可能产生的所有息费项目、年化利率水平和息费计算方式。 </w:t>
      </w:r>
    </w:p>
    <w:tbl>
      <w:tblPr>
        <w:tblStyle w:val="5"/>
        <w:tblpPr w:leftFromText="180" w:rightFromText="180" w:vertAnchor="text" w:horzAnchor="page" w:tblpXSpec="center" w:tblpY="333"/>
        <w:tblOverlap w:val="never"/>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6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8522" w:type="dxa"/>
            <w:gridSpan w:val="2"/>
            <w:noWrap w:val="0"/>
            <w:vAlign w:val="center"/>
          </w:tcPr>
          <w:p>
            <w:pPr>
              <w:spacing w:line="480" w:lineRule="auto"/>
              <w:ind w:right="420" w:rightChars="200"/>
              <w:jc w:val="center"/>
              <w:rPr>
                <w:rFonts w:hint="eastAsia" w:ascii="宋体" w:hAnsi="宋体" w:eastAsia="宋体" w:cs="宋体"/>
                <w:color w:val="0D5386"/>
                <w:kern w:val="0"/>
                <w:sz w:val="21"/>
                <w:szCs w:val="21"/>
                <w:highlight w:val="none"/>
              </w:rPr>
            </w:pPr>
            <w:r>
              <w:rPr>
                <w:rFonts w:hint="eastAsia" w:ascii="楷体_GB2312" w:eastAsia="楷体_GB2312"/>
                <w:b/>
                <w:sz w:val="24"/>
                <w:highlight w:val="none"/>
              </w:rPr>
              <w:t> </w:t>
            </w:r>
            <w:r>
              <w:rPr>
                <w:rFonts w:hint="eastAsia" w:ascii="黑体" w:hAnsi="黑体" w:eastAsia="黑体" w:cs="宋体"/>
                <w:color w:val="0D5386"/>
                <w:kern w:val="0"/>
                <w:sz w:val="30"/>
                <w:szCs w:val="30"/>
                <w:highlight w:val="none"/>
                <w:lang w:val="en-US" w:eastAsia="zh-CN"/>
              </w:rPr>
              <w:t xml:space="preserve">   </w:t>
            </w:r>
            <w:r>
              <w:rPr>
                <w:rFonts w:hint="eastAsia" w:ascii="黑体" w:hAnsi="黑体" w:eastAsia="黑体" w:cs="宋体"/>
                <w:color w:val="auto"/>
                <w:kern w:val="0"/>
                <w:sz w:val="18"/>
                <w:szCs w:val="18"/>
                <w:highlight w:val="none"/>
                <w:lang w:val="en-US" w:eastAsia="zh-CN"/>
              </w:rPr>
              <w:t xml:space="preserve"> </w:t>
            </w:r>
            <w:r>
              <w:rPr>
                <w:rFonts w:hint="eastAsia" w:ascii="黑体" w:hAnsi="黑体" w:eastAsia="黑体" w:cs="宋体"/>
                <w:color w:val="auto"/>
                <w:kern w:val="0"/>
                <w:sz w:val="18"/>
                <w:szCs w:val="18"/>
                <w:highlight w:val="none"/>
              </w:rPr>
              <w:t>河北银行</w:t>
            </w:r>
            <w:r>
              <w:rPr>
                <w:rFonts w:hint="eastAsia" w:ascii="黑体" w:hAnsi="黑体" w:eastAsia="黑体" w:cs="宋体"/>
                <w:color w:val="auto"/>
                <w:kern w:val="0"/>
                <w:sz w:val="18"/>
                <w:szCs w:val="18"/>
                <w:highlight w:val="none"/>
                <w:lang w:eastAsia="zh-CN"/>
              </w:rPr>
              <w:t>个人信用卡跨行分期业务服务价格</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0D5386"/>
                <w:kern w:val="0"/>
                <w:sz w:val="21"/>
                <w:szCs w:val="21"/>
                <w:highlight w:val="none"/>
              </w:rPr>
              <w:t xml:space="preserve">            </w:t>
            </w:r>
          </w:p>
          <w:p>
            <w:pPr>
              <w:keepNext w:val="0"/>
              <w:keepLines w:val="0"/>
              <w:pageBreakBefore w:val="0"/>
              <w:kinsoku/>
              <w:wordWrap/>
              <w:overflowPunct/>
              <w:topLinePunct w:val="0"/>
              <w:bidi w:val="0"/>
              <w:jc w:val="right"/>
              <w:textAlignment w:val="auto"/>
              <w:outlineLvl w:val="9"/>
              <w:rPr>
                <w:color w:val="FF0000"/>
                <w:szCs w:val="21"/>
                <w:highlight w:val="none"/>
              </w:rPr>
            </w:pPr>
            <w:r>
              <w:rPr>
                <w:rFonts w:hint="eastAsia" w:ascii="宋体" w:hAnsi="宋体" w:eastAsia="宋体" w:cs="宋体"/>
                <w:color w:val="0D5386"/>
                <w:kern w:val="0"/>
                <w:sz w:val="21"/>
                <w:szCs w:val="21"/>
                <w:highlight w:val="none"/>
              </w:rPr>
              <w:t xml:space="preserve"> </w:t>
            </w:r>
            <w:r>
              <w:rPr>
                <w:rFonts w:hint="eastAsia" w:ascii="宋体" w:hAnsi="宋体" w:eastAsia="宋体" w:cs="宋体"/>
                <w:b/>
                <w:bCs/>
                <w:color w:val="231F20"/>
                <w:kern w:val="0"/>
                <w:sz w:val="13"/>
                <w:szCs w:val="13"/>
                <w:highlight w:val="none"/>
              </w:rPr>
              <w:t>单位：人民币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b/>
                <w:bCs/>
                <w:color w:val="FF0000"/>
                <w:sz w:val="15"/>
                <w:szCs w:val="15"/>
                <w:highlight w:val="none"/>
              </w:rPr>
            </w:pPr>
            <w:r>
              <w:rPr>
                <w:rFonts w:hint="eastAsia" w:asciiTheme="minorEastAsia" w:hAnsiTheme="minorEastAsia" w:cstheme="minorEastAsia"/>
                <w:b/>
                <w:bCs/>
                <w:color w:val="231F20"/>
                <w:kern w:val="0"/>
                <w:sz w:val="15"/>
                <w:szCs w:val="15"/>
                <w:highlight w:val="none"/>
                <w:lang w:eastAsia="zh-CN"/>
              </w:rPr>
              <w:t>息费</w:t>
            </w:r>
            <w:r>
              <w:rPr>
                <w:rFonts w:hint="eastAsia" w:asciiTheme="minorEastAsia" w:hAnsiTheme="minorEastAsia" w:eastAsiaTheme="minorEastAsia" w:cstheme="minorEastAsia"/>
                <w:b/>
                <w:bCs/>
                <w:color w:val="231F20"/>
                <w:kern w:val="0"/>
                <w:sz w:val="15"/>
                <w:szCs w:val="15"/>
                <w:highlight w:val="none"/>
              </w:rPr>
              <w:t>项目</w:t>
            </w:r>
          </w:p>
        </w:tc>
        <w:tc>
          <w:tcPr>
            <w:tcW w:w="6565"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b/>
                <w:bCs/>
                <w:color w:val="FF0000"/>
                <w:sz w:val="15"/>
                <w:szCs w:val="15"/>
                <w:highlight w:val="none"/>
                <w:lang w:eastAsia="zh-CN"/>
              </w:rPr>
            </w:pPr>
            <w:r>
              <w:rPr>
                <w:rFonts w:hint="eastAsia" w:asciiTheme="minorEastAsia" w:hAnsiTheme="minorEastAsia" w:cstheme="minorEastAsia"/>
                <w:b/>
                <w:bCs/>
                <w:color w:val="231F20"/>
                <w:kern w:val="0"/>
                <w:sz w:val="15"/>
                <w:szCs w:val="15"/>
                <w:highlight w:val="none"/>
                <w:lang w:eastAsia="zh-CN"/>
              </w:rPr>
              <w:t>价格标准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lang w:eastAsia="zh-CN"/>
              </w:rPr>
              <w:t>分期利息</w:t>
            </w:r>
          </w:p>
        </w:tc>
        <w:tc>
          <w:tcPr>
            <w:tcW w:w="6565" w:type="dxa"/>
            <w:noWrap w:val="0"/>
            <w:vAlign w:val="center"/>
          </w:tcPr>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cstheme="minorEastAsia"/>
                <w:color w:val="auto"/>
                <w:kern w:val="0"/>
                <w:sz w:val="15"/>
                <w:szCs w:val="15"/>
                <w:highlight w:val="none"/>
                <w:lang w:val="en-US" w:eastAsia="zh-CN"/>
              </w:rPr>
              <w:t>每期利息等于分期本金总额乘以每期利率，总利息等于每期利息乘以期数。</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按</w:t>
            </w:r>
            <w:r>
              <w:rPr>
                <w:rFonts w:hint="eastAsia" w:asciiTheme="minorEastAsia" w:hAnsiTheme="minorEastAsia" w:cstheme="minorEastAsia"/>
                <w:color w:val="auto"/>
                <w:kern w:val="0"/>
                <w:sz w:val="15"/>
                <w:szCs w:val="15"/>
                <w:highlight w:val="none"/>
                <w:lang w:eastAsia="zh-CN"/>
              </w:rPr>
              <w:t>渠道显示</w:t>
            </w:r>
            <w:r>
              <w:rPr>
                <w:rFonts w:hint="eastAsia" w:asciiTheme="minorEastAsia" w:hAnsiTheme="minorEastAsia" w:eastAsiaTheme="minorEastAsia" w:cstheme="minorEastAsia"/>
                <w:color w:val="auto"/>
                <w:kern w:val="0"/>
                <w:sz w:val="15"/>
                <w:szCs w:val="15"/>
                <w:highlight w:val="none"/>
                <w:lang w:eastAsia="zh-CN"/>
              </w:rPr>
              <w:t>定价</w:t>
            </w:r>
            <w:r>
              <w:rPr>
                <w:rFonts w:hint="eastAsia" w:asciiTheme="minorEastAsia" w:hAnsiTheme="minorEastAsia" w:cstheme="minorEastAsia"/>
                <w:color w:val="auto"/>
                <w:kern w:val="0"/>
                <w:sz w:val="15"/>
                <w:szCs w:val="15"/>
                <w:highlight w:val="none"/>
                <w:lang w:val="en-US" w:eastAsia="zh-CN"/>
              </w:rPr>
              <w:t>为准</w:t>
            </w:r>
            <w:r>
              <w:rPr>
                <w:rFonts w:hint="eastAsia" w:asciiTheme="minorEastAsia" w:hAnsiTheme="minorEastAsia" w:eastAsiaTheme="minorEastAsia" w:cstheme="minorEastAsia"/>
                <w:color w:val="auto"/>
                <w:kern w:val="0"/>
                <w:sz w:val="15"/>
                <w:szCs w:val="15"/>
                <w:highlight w:val="none"/>
                <w:lang w:eastAsia="zh-CN"/>
              </w:rPr>
              <w:t>，近似折算年化利率（单利法）：</w:t>
            </w:r>
            <w:r>
              <w:rPr>
                <w:rFonts w:hint="eastAsia" w:asciiTheme="minorEastAsia" w:hAnsiTheme="minorEastAsia" w:eastAsiaTheme="minorEastAsia" w:cstheme="minorEastAsia"/>
                <w:color w:val="auto"/>
                <w:kern w:val="0"/>
                <w:sz w:val="15"/>
                <w:szCs w:val="15"/>
                <w:highlight w:val="none"/>
                <w:lang w:val="en-US" w:eastAsia="zh-CN"/>
              </w:rPr>
              <w:t>0%-18.25%。</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近似折算年化利率（单利法）是根据持卡人现金流计算出内含报酬率后年化而得。内含报酬率</w:t>
            </w:r>
            <w:r>
              <w:rPr>
                <w:rFonts w:hint="eastAsia" w:asciiTheme="minorEastAsia" w:hAnsiTheme="minorEastAsia" w:eastAsiaTheme="minorEastAsia" w:cstheme="minorEastAsia"/>
                <w:color w:val="auto"/>
                <w:kern w:val="0"/>
                <w:sz w:val="15"/>
                <w:szCs w:val="15"/>
                <w:highlight w:val="none"/>
                <w:lang w:val="en-US" w:eastAsia="zh-CN"/>
              </w:rPr>
              <w:t>IRR是指使未来现金流入量现值等于未来现金流出量现值的折现率。计算公式如下：</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分期本金=∑</w:t>
            </w:r>
            <w:r>
              <w:rPr>
                <w:rFonts w:hint="eastAsia" w:asciiTheme="minorEastAsia" w:hAnsiTheme="minorEastAsia" w:eastAsiaTheme="minorEastAsia" w:cstheme="minorEastAsia"/>
                <w:color w:val="auto"/>
                <w:kern w:val="0"/>
                <w:sz w:val="15"/>
                <w:szCs w:val="15"/>
                <w:highlight w:val="none"/>
                <w:vertAlign w:val="superscript"/>
                <w:lang w:val="en-US" w:eastAsia="zh-CN"/>
              </w:rPr>
              <w:t>n</w:t>
            </w:r>
            <w:r>
              <w:rPr>
                <w:rFonts w:hint="eastAsia" w:asciiTheme="minorEastAsia" w:hAnsiTheme="minorEastAsia" w:eastAsiaTheme="minorEastAsia" w:cstheme="minorEastAsia"/>
                <w:color w:val="auto"/>
                <w:kern w:val="0"/>
                <w:sz w:val="15"/>
                <w:szCs w:val="15"/>
                <w:highlight w:val="none"/>
                <w:vertAlign w:val="subscript"/>
                <w:lang w:val="en-US" w:eastAsia="zh-CN"/>
              </w:rPr>
              <w:t xml:space="preserve">i=1 </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cstheme="minorEastAsia"/>
                <w:color w:val="auto"/>
                <w:kern w:val="0"/>
                <w:sz w:val="15"/>
                <w:szCs w:val="15"/>
                <w:highlight w:val="none"/>
                <w:lang w:val="en-US" w:eastAsia="zh-CN"/>
              </w:rPr>
              <w:t>第i期支付金额/(1+IRR)</w:t>
            </w:r>
            <w:r>
              <w:rPr>
                <w:rFonts w:hint="eastAsia" w:asciiTheme="minorEastAsia" w:hAnsiTheme="minorEastAsia" w:cstheme="minorEastAsia"/>
                <w:color w:val="auto"/>
                <w:kern w:val="0"/>
                <w:sz w:val="15"/>
                <w:szCs w:val="15"/>
                <w:highlight w:val="none"/>
                <w:vertAlign w:val="superscript"/>
                <w:lang w:val="en-US" w:eastAsia="zh-CN"/>
              </w:rPr>
              <w:t>i</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vertAlign w:val="subscript"/>
                <w:lang w:val="en-US" w:eastAsia="zh-CN"/>
              </w:rPr>
              <w:t xml:space="preserve">   </w:t>
            </w:r>
            <w:r>
              <w:rPr>
                <w:rFonts w:hint="eastAsia" w:asciiTheme="minorEastAsia" w:hAnsiTheme="minorEastAsia" w:eastAsiaTheme="minorEastAsia" w:cstheme="minorEastAsia"/>
                <w:color w:val="auto"/>
                <w:kern w:val="0"/>
                <w:sz w:val="15"/>
                <w:szCs w:val="15"/>
                <w:highlight w:val="none"/>
                <w:lang w:val="en-US" w:eastAsia="zh-CN"/>
              </w:rPr>
              <w:t xml:space="preserve">  其中：n为总期数</w:t>
            </w:r>
          </w:p>
          <w:p>
            <w:pPr>
              <w:keepNext w:val="0"/>
              <w:keepLines w:val="0"/>
              <w:pageBreakBefore w:val="0"/>
              <w:kinsoku/>
              <w:wordWrap/>
              <w:overflowPunct/>
              <w:topLinePunct w:val="0"/>
              <w:bidi w:val="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计算得出月度内含报酬率IRR，由此近似折算年化利率（单利法）=12*IRR。</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近似折算年化利率（单利法）供持卡人评估资金成本时参考，不改变持卡人实际支付的</w:t>
            </w:r>
            <w:r>
              <w:rPr>
                <w:rFonts w:hint="eastAsia" w:asciiTheme="minorEastAsia" w:hAnsiTheme="minorEastAsia" w:cstheme="minorEastAsia"/>
                <w:color w:val="auto"/>
                <w:kern w:val="0"/>
                <w:sz w:val="15"/>
                <w:szCs w:val="15"/>
                <w:highlight w:val="none"/>
                <w:lang w:val="en-US" w:eastAsia="zh-CN"/>
              </w:rPr>
              <w:t>利息</w:t>
            </w:r>
            <w:r>
              <w:rPr>
                <w:rFonts w:hint="eastAsia" w:asciiTheme="minorEastAsia" w:hAnsiTheme="minorEastAsia" w:eastAsiaTheme="minorEastAsia" w:cstheme="minorEastAsia"/>
                <w:color w:val="auto"/>
                <w:kern w:val="0"/>
                <w:sz w:val="15"/>
                <w:szCs w:val="15"/>
                <w:highlight w:val="none"/>
                <w:lang w:val="en-US" w:eastAsia="zh-CN"/>
              </w:rPr>
              <w:t>金额，因交易金额、交易时间、还款时间、提前还款等不同可能致实际值与上述参考值存在差异。持卡人实际需支付的</w:t>
            </w:r>
            <w:r>
              <w:rPr>
                <w:rFonts w:hint="eastAsia" w:asciiTheme="minorEastAsia" w:hAnsiTheme="minorEastAsia" w:cstheme="minorEastAsia"/>
                <w:color w:val="auto"/>
                <w:kern w:val="0"/>
                <w:sz w:val="15"/>
                <w:szCs w:val="15"/>
                <w:highlight w:val="none"/>
                <w:lang w:val="en-US" w:eastAsia="zh-CN"/>
              </w:rPr>
              <w:t>利息</w:t>
            </w:r>
            <w:r>
              <w:rPr>
                <w:rFonts w:hint="eastAsia" w:asciiTheme="minorEastAsia" w:hAnsiTheme="minorEastAsia" w:eastAsiaTheme="minorEastAsia" w:cstheme="minorEastAsia"/>
                <w:color w:val="auto"/>
                <w:kern w:val="0"/>
                <w:sz w:val="15"/>
                <w:szCs w:val="15"/>
                <w:highlight w:val="none"/>
                <w:lang w:val="en-US" w:eastAsia="zh-CN"/>
              </w:rPr>
              <w:t>金额请以账单列示为准。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 w:hRule="atLeast"/>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yellow"/>
                <w:lang w:eastAsia="zh-CN"/>
              </w:rPr>
            </w:pPr>
            <w:r>
              <w:rPr>
                <w:rFonts w:hint="eastAsia" w:asciiTheme="minorEastAsia" w:hAnsiTheme="minorEastAsia" w:eastAsiaTheme="minorEastAsia" w:cstheme="minorEastAsia"/>
                <w:color w:val="auto"/>
                <w:kern w:val="0"/>
                <w:sz w:val="15"/>
                <w:szCs w:val="15"/>
                <w:highlight w:val="none"/>
              </w:rPr>
              <w:t>循环信用利息</w:t>
            </w:r>
          </w:p>
        </w:tc>
        <w:tc>
          <w:tcPr>
            <w:tcW w:w="6565" w:type="dxa"/>
            <w:noWrap w:val="0"/>
            <w:vAlign w:val="center"/>
          </w:tcPr>
          <w:p>
            <w:pPr>
              <w:keepNext w:val="0"/>
              <w:keepLines w:val="0"/>
              <w:pageBreakBefore w:val="0"/>
              <w:kinsoku/>
              <w:wordWrap/>
              <w:overflowPunct/>
              <w:topLinePunct w:val="0"/>
              <w:bidi w:val="0"/>
              <w:jc w:val="left"/>
              <w:textAlignment w:val="auto"/>
              <w:outlineLvl w:val="9"/>
              <w:rPr>
                <w:rFonts w:hint="eastAsia" w:asciiTheme="minorEastAsia" w:hAnsiTheme="minorEastAsia" w:eastAsiaTheme="minorEastAsia" w:cstheme="minorEastAsia"/>
                <w:color w:val="auto"/>
                <w:kern w:val="0"/>
                <w:sz w:val="15"/>
                <w:szCs w:val="15"/>
                <w:highlight w:val="yellow"/>
                <w:lang w:val="en-US" w:eastAsia="zh-CN"/>
              </w:rPr>
            </w:pPr>
            <w:r>
              <w:rPr>
                <w:rFonts w:hint="eastAsia" w:asciiTheme="minorEastAsia" w:hAnsiTheme="minorEastAsia" w:eastAsiaTheme="minorEastAsia" w:cstheme="minorEastAsia"/>
                <w:color w:val="auto"/>
                <w:kern w:val="0"/>
                <w:sz w:val="15"/>
                <w:szCs w:val="15"/>
                <w:highlight w:val="none"/>
              </w:rPr>
              <w:t>日息万分之五，按月计收复利（18.25%年利率=</w:t>
            </w:r>
            <w:r>
              <w:rPr>
                <w:rFonts w:hint="eastAsia" w:asciiTheme="minorEastAsia" w:hAnsi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5‰×365）</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持卡人须依照对账单金额按时还款，否则本行将对持卡人当期账单的分期本金</w:t>
            </w:r>
            <w:r>
              <w:rPr>
                <w:rFonts w:hint="eastAsia" w:asciiTheme="minorEastAsia" w:hAnsi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计收从银行记账日</w:t>
            </w:r>
            <w:r>
              <w:rPr>
                <w:rFonts w:hint="eastAsia" w:asciiTheme="minorEastAsia" w:hAnsiTheme="minorEastAsia" w:cstheme="minorEastAsia"/>
                <w:color w:val="auto"/>
                <w:kern w:val="0"/>
                <w:sz w:val="15"/>
                <w:szCs w:val="15"/>
                <w:highlight w:val="none"/>
                <w:lang w:val="en-US" w:eastAsia="zh-CN"/>
              </w:rPr>
              <w:t>起</w:t>
            </w:r>
            <w:r>
              <w:rPr>
                <w:rFonts w:hint="eastAsia" w:asciiTheme="minorEastAsia" w:hAnsiTheme="minorEastAsia" w:eastAsiaTheme="minorEastAsia" w:cstheme="minorEastAsia"/>
                <w:color w:val="auto"/>
                <w:kern w:val="0"/>
                <w:sz w:val="15"/>
                <w:szCs w:val="15"/>
                <w:highlight w:val="none"/>
              </w:rPr>
              <w:t>至还款到账日止的循环信用利息（非分期利息）</w:t>
            </w:r>
            <w:r>
              <w:rPr>
                <w:rFonts w:hint="eastAsia" w:asciiTheme="minorEastAsia" w:hAnsiTheme="minorEastAsia" w:cstheme="minorEastAsia"/>
                <w:color w:val="auto"/>
                <w:kern w:val="0"/>
                <w:sz w:val="15"/>
                <w:szCs w:val="15"/>
                <w:highlight w:val="none"/>
                <w:lang w:eastAsia="zh-CN"/>
              </w:rPr>
              <w:t>，</w:t>
            </w:r>
            <w:r>
              <w:rPr>
                <w:rFonts w:hint="eastAsia" w:asciiTheme="minorEastAsia" w:hAnsiTheme="minorEastAsia" w:cstheme="minorEastAsia"/>
                <w:color w:val="auto"/>
                <w:kern w:val="0"/>
                <w:sz w:val="15"/>
                <w:szCs w:val="15"/>
                <w:highlight w:val="none"/>
                <w:lang w:val="en-US" w:eastAsia="zh-CN"/>
              </w:rPr>
              <w:t>并</w:t>
            </w:r>
            <w:r>
              <w:rPr>
                <w:rFonts w:hint="eastAsia" w:asciiTheme="minorEastAsia" w:hAnsiTheme="minorEastAsia" w:eastAsiaTheme="minorEastAsia" w:cstheme="minorEastAsia"/>
                <w:color w:val="auto"/>
                <w:kern w:val="0"/>
                <w:sz w:val="15"/>
                <w:szCs w:val="15"/>
                <w:highlight w:val="none"/>
              </w:rPr>
              <w:t>按月计收复利。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违约金</w:t>
            </w:r>
          </w:p>
        </w:tc>
        <w:tc>
          <w:tcPr>
            <w:tcW w:w="6565" w:type="dxa"/>
            <w:noWrap w:val="0"/>
            <w:vAlign w:val="center"/>
          </w:tcPr>
          <w:p>
            <w:pPr>
              <w:keepNext w:val="0"/>
              <w:keepLines w:val="0"/>
              <w:pageBreakBefore w:val="0"/>
              <w:kinsoku/>
              <w:wordWrap/>
              <w:overflowPunct/>
              <w:topLinePunct w:val="0"/>
              <w:bidi w:val="0"/>
              <w:ind w:firstLine="300" w:firstLineChars="200"/>
              <w:jc w:val="both"/>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cstheme="minorEastAsia"/>
                <w:color w:val="auto"/>
                <w:kern w:val="0"/>
                <w:sz w:val="15"/>
                <w:szCs w:val="15"/>
                <w:highlight w:val="none"/>
                <w:lang w:val="en-US" w:eastAsia="zh-CN"/>
              </w:rPr>
              <w:t>1.逾期还款违约金：如持卡人在到期还款日（含）前未能偿还当前账单最低还款额，计收相应违约金，违约金按最低还款额</w:t>
            </w:r>
            <w:r>
              <w:rPr>
                <w:rFonts w:hint="eastAsia" w:asciiTheme="minorEastAsia" w:hAnsiTheme="minorEastAsia" w:eastAsiaTheme="minorEastAsia" w:cstheme="minorEastAsia"/>
                <w:color w:val="auto"/>
                <w:kern w:val="0"/>
                <w:sz w:val="15"/>
                <w:szCs w:val="15"/>
                <w:highlight w:val="none"/>
              </w:rPr>
              <w:t>未还部分的5%</w:t>
            </w:r>
            <w:r>
              <w:rPr>
                <w:rFonts w:hint="eastAsia" w:asciiTheme="minorEastAsia" w:hAnsiTheme="minorEastAsia" w:cstheme="minorEastAsia"/>
                <w:color w:val="auto"/>
                <w:kern w:val="0"/>
                <w:sz w:val="15"/>
                <w:szCs w:val="15"/>
                <w:highlight w:val="none"/>
                <w:lang w:eastAsia="zh-CN"/>
              </w:rPr>
              <w:t>计算</w:t>
            </w:r>
            <w:r>
              <w:rPr>
                <w:rFonts w:hint="eastAsia" w:asciiTheme="minorEastAsia" w:hAnsiTheme="minorEastAsia" w:eastAsiaTheme="minorEastAsia" w:cstheme="minorEastAsia"/>
                <w:color w:val="auto"/>
                <w:kern w:val="0"/>
                <w:sz w:val="15"/>
                <w:szCs w:val="15"/>
                <w:highlight w:val="none"/>
              </w:rPr>
              <w:t>，最低收费为10元</w:t>
            </w:r>
            <w:r>
              <w:rPr>
                <w:rFonts w:hint="eastAsia" w:asciiTheme="minorEastAsia" w:hAnsiTheme="minorEastAsia" w:cstheme="minorEastAsia"/>
                <w:color w:val="auto"/>
                <w:kern w:val="0"/>
                <w:sz w:val="15"/>
                <w:szCs w:val="15"/>
                <w:highlight w:val="none"/>
                <w:lang w:eastAsia="zh-CN"/>
              </w:rPr>
              <w:t>。</w:t>
            </w:r>
          </w:p>
          <w:p>
            <w:pPr>
              <w:keepNext w:val="0"/>
              <w:keepLines w:val="0"/>
              <w:pageBreakBefore w:val="0"/>
              <w:kinsoku/>
              <w:wordWrap/>
              <w:overflowPunct/>
              <w:topLinePunct w:val="0"/>
              <w:bidi w:val="0"/>
              <w:ind w:firstLine="300" w:firstLineChars="200"/>
              <w:jc w:val="both"/>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cstheme="minorEastAsia"/>
                <w:color w:val="auto"/>
                <w:kern w:val="0"/>
                <w:sz w:val="15"/>
                <w:szCs w:val="15"/>
                <w:highlight w:val="none"/>
                <w:lang w:val="en-US" w:eastAsia="zh-CN"/>
              </w:rPr>
              <w:t>2.分期提前还款违约金：持卡人可申请提前还款已经申请成功的分期业务，但须一次性偿还剩余的分期本金，本行已收取的分期利息不予退还</w:t>
            </w:r>
            <w:r>
              <w:rPr>
                <w:rFonts w:hint="eastAsia" w:asciiTheme="minorEastAsia" w:hAnsiTheme="minorEastAsia" w:eastAsiaTheme="minorEastAsia" w:cstheme="minorEastAsia"/>
                <w:color w:val="auto"/>
                <w:kern w:val="0"/>
                <w:sz w:val="15"/>
                <w:szCs w:val="15"/>
                <w:highlight w:val="none"/>
                <w:lang w:val="en-US" w:eastAsia="zh-CN"/>
              </w:rPr>
              <w:t>，且持卡</w:t>
            </w:r>
            <w:r>
              <w:rPr>
                <w:rFonts w:hint="eastAsia" w:asciiTheme="minorEastAsia" w:hAnsiTheme="minorEastAsia" w:cstheme="minorEastAsia"/>
                <w:color w:val="auto"/>
                <w:kern w:val="0"/>
                <w:sz w:val="15"/>
                <w:szCs w:val="15"/>
                <w:highlight w:val="none"/>
                <w:lang w:val="en-US" w:eastAsia="zh-CN"/>
              </w:rPr>
              <w:t>人已还期数＜6期时，需按剩余分期本金金额的3%支付分期提前还款违约金。</w:t>
            </w:r>
          </w:p>
        </w:tc>
      </w:tr>
    </w:tbl>
    <w:p>
      <w:pPr>
        <w:pStyle w:val="8"/>
        <w:numPr>
          <w:ilvl w:val="0"/>
          <w:numId w:val="0"/>
        </w:numPr>
        <w:rPr>
          <w:rFonts w:hint="eastAsia" w:ascii="黑体" w:hAnsi="黑体" w:eastAsia="黑体" w:cs="黑体"/>
          <w:color w:val="000000"/>
          <w:sz w:val="32"/>
          <w:szCs w:val="32"/>
        </w:rPr>
      </w:pPr>
      <w:r>
        <w:rPr>
          <w:rFonts w:hint="eastAsia" w:ascii="黑体" w:hAnsi="黑体" w:eastAsia="黑体" w:cs="黑体"/>
          <w:color w:val="000000"/>
          <w:sz w:val="32"/>
          <w:szCs w:val="32"/>
        </w:rPr>
        <w:t>本次办理业务约定：</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签约发卡银行：</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签约消费分期期数：</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签约折算年化利率：</w:t>
      </w:r>
    </w:p>
    <w:p>
      <w:pPr>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年化利率计算方式：</w:t>
      </w:r>
    </w:p>
    <w:p>
      <w:pPr>
        <w:keepNext w:val="0"/>
        <w:keepLines w:val="0"/>
        <w:pageBreakBefore w:val="0"/>
        <w:widowControl w:val="0"/>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河北银行个人信用卡持卡人（以下简称“持卡人”）同意南京苏宁易付宝支付科技有限公司将持卡人（以下简称“持卡人”）卡号传输给银联，再由银联传输给发卡银行查询可用额度是否满足订单金额。</w:t>
      </w: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 xml:space="preserve"> 河北银行个人信用卡跨行分期业务</w:t>
      </w: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条款及细则</w:t>
      </w: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持卡人申请河北银行个人信用卡跨行分期业务（以下简称“跨行分期业务”）即视同已详尽阅读并完全知晓和承诺遵守本条款及细则，本条款及细则为《河北银行信用卡领用协议》的附加条款。 </w:t>
      </w:r>
    </w:p>
    <w:p>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 xml:space="preserve">业务介绍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业务是指，持卡人使用信用卡账户进行消费时，由本行向商户一次性支付持卡人所购商品（或服务）的消费资金，后续由持卡人分期向本行还款的金融服务。本行会根据持卡人申请，经本行审批通过后，将消费资金分期通过持卡人信用卡账户扣收，持卡人按照约定每月银行账单进行还款。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二、申请条件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适用于本行主卡持卡人申请，附属卡持卡人除外。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本行有权根据持卡人的信用记录、用卡情况、本行相关业务规定及商业判断独立决定是否同意该申请。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本行规定的其他事项。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三、申请渠道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通过支持跨行分期业务的商户申请。持卡人在申请本业务过程中，点选“确定付款”按钮或以其他方式选择接受本协议，即表示已充分阅读、理解本协议所有内容，对所有内容的含义及相应的法律后果已全部知晓并充分理解，愿意遵守其全部内容并受其约束。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四、业务模式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跨行分期业务包括客户付息、商户</w:t>
      </w:r>
      <w:r>
        <w:rPr>
          <w:rFonts w:hint="eastAsia" w:ascii="仿宋_GB2312" w:hAnsi="仿宋_GB2312" w:eastAsia="仿宋_GB2312" w:cs="仿宋_GB2312"/>
          <w:i w:val="0"/>
          <w:iCs w:val="0"/>
          <w:caps w:val="0"/>
          <w:color w:val="000000"/>
          <w:spacing w:val="0"/>
          <w:sz w:val="32"/>
          <w:szCs w:val="32"/>
          <w:highlight w:val="none"/>
          <w:lang w:val="en-US" w:eastAsia="zh-CN"/>
        </w:rPr>
        <w:t>全额</w:t>
      </w:r>
      <w:r>
        <w:rPr>
          <w:rFonts w:hint="eastAsia" w:ascii="仿宋_GB2312" w:hAnsi="仿宋_GB2312" w:eastAsia="仿宋_GB2312" w:cs="仿宋_GB2312"/>
          <w:i w:val="0"/>
          <w:iCs w:val="0"/>
          <w:caps w:val="0"/>
          <w:color w:val="000000"/>
          <w:spacing w:val="0"/>
          <w:sz w:val="32"/>
          <w:szCs w:val="32"/>
          <w:highlight w:val="none"/>
        </w:rPr>
        <w:t>贴息两种模式。同一家商户可以既支持客户付息也支持商户</w:t>
      </w:r>
      <w:r>
        <w:rPr>
          <w:rFonts w:hint="eastAsia" w:ascii="仿宋_GB2312" w:hAnsi="仿宋_GB2312" w:eastAsia="仿宋_GB2312" w:cs="仿宋_GB2312"/>
          <w:i w:val="0"/>
          <w:iCs w:val="0"/>
          <w:caps w:val="0"/>
          <w:color w:val="000000"/>
          <w:spacing w:val="0"/>
          <w:sz w:val="32"/>
          <w:szCs w:val="32"/>
          <w:highlight w:val="none"/>
          <w:lang w:val="en-US" w:eastAsia="zh-CN"/>
        </w:rPr>
        <w:t>全额</w:t>
      </w:r>
      <w:r>
        <w:rPr>
          <w:rFonts w:hint="eastAsia" w:ascii="仿宋_GB2312" w:hAnsi="仿宋_GB2312" w:eastAsia="仿宋_GB2312" w:cs="仿宋_GB2312"/>
          <w:i w:val="0"/>
          <w:iCs w:val="0"/>
          <w:caps w:val="0"/>
          <w:color w:val="000000"/>
          <w:spacing w:val="0"/>
          <w:sz w:val="32"/>
          <w:szCs w:val="32"/>
          <w:highlight w:val="none"/>
        </w:rPr>
        <w:t>贴息。暂不支持一笔交易下，商户和客户共担利息的模式。商户</w:t>
      </w:r>
      <w:r>
        <w:rPr>
          <w:rFonts w:hint="eastAsia" w:ascii="仿宋_GB2312" w:hAnsi="仿宋_GB2312" w:eastAsia="仿宋_GB2312" w:cs="仿宋_GB2312"/>
          <w:i w:val="0"/>
          <w:iCs w:val="0"/>
          <w:caps w:val="0"/>
          <w:color w:val="000000"/>
          <w:spacing w:val="0"/>
          <w:sz w:val="32"/>
          <w:szCs w:val="32"/>
          <w:highlight w:val="none"/>
          <w:lang w:val="en-US" w:eastAsia="zh-CN"/>
        </w:rPr>
        <w:t>全额</w:t>
      </w:r>
      <w:r>
        <w:rPr>
          <w:rFonts w:hint="eastAsia" w:ascii="仿宋_GB2312" w:hAnsi="仿宋_GB2312" w:eastAsia="仿宋_GB2312" w:cs="仿宋_GB2312"/>
          <w:i w:val="0"/>
          <w:iCs w:val="0"/>
          <w:caps w:val="0"/>
          <w:color w:val="000000"/>
          <w:spacing w:val="0"/>
          <w:sz w:val="32"/>
          <w:szCs w:val="32"/>
          <w:highlight w:val="none"/>
        </w:rPr>
        <w:t xml:space="preserve">贴息模式下，客户无需支付分期利息。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五、分期金额、分期期数、每期应还本金、每期应还分期利息、提前还款违约金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持卡人每次申请的金额最低为人民币100元，最高不超过该笔消费金额。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分期期数为3期、6期、9期、12期、18期、24期。不同商户支持的分期期数不同，具体以商户渠道展示为准。自申请后首个账单日期计算。</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每期应还本金等于分期本金总额除以分期期数，四舍五入精确到分，于分期后第一个账单日开始分摊，在各期账单日逐期入账。四舍五入产生的差额部分在最后一期账单日合并入账。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分期利息按每期平均分摊方式收取。每期利息等于分期本金总额乘以每期利率，在分期后各期账单日逐期入账。总利息等于每期利息乘以期数。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跨行分期利率收取标准将在0-1%每期的范围内根据持卡人的资信情况、用卡情况等，在下述标准利率的基础上进行调整，实际利率以申请渠道显示为准，标准利率表如下： </w:t>
      </w:r>
    </w:p>
    <w:tbl>
      <w:tblPr>
        <w:tblStyle w:val="4"/>
        <w:tblW w:w="8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75"/>
        <w:gridCol w:w="2775"/>
        <w:gridCol w:w="2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18"/>
                <w:szCs w:val="18"/>
                <w:highlight w:val="none"/>
                <w:u w:val="none"/>
                <w:lang w:eastAsia="zh-CN"/>
              </w:rPr>
            </w:pPr>
            <w:r>
              <w:rPr>
                <w:rFonts w:hint="eastAsia" w:ascii="宋体" w:hAnsi="宋体" w:eastAsia="宋体" w:cs="宋体"/>
                <w:b/>
                <w:i w:val="0"/>
                <w:color w:val="000000"/>
                <w:sz w:val="18"/>
                <w:szCs w:val="18"/>
                <w:highlight w:val="none"/>
                <w:u w:val="none"/>
                <w:lang w:eastAsia="zh-CN"/>
              </w:rPr>
              <w:t>分期期数</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 xml:space="preserve">利率 </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近似折算年化利率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2.30</w:t>
            </w:r>
            <w:r>
              <w:rPr>
                <w:rFonts w:hint="default" w:ascii="Calibri" w:hAnsi="Calibri" w:eastAsia="宋体" w:cs="Calibri"/>
                <w:i w:val="0"/>
                <w:color w:val="000000"/>
                <w:kern w:val="0"/>
                <w:sz w:val="18"/>
                <w:szCs w:val="18"/>
                <w:highlight w:val="none"/>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13.75</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default" w:ascii="Calibri" w:hAnsi="Calibri" w:eastAsia="宋体" w:cs="Calibri"/>
                <w:i w:val="0"/>
                <w:color w:val="000000"/>
                <w:kern w:val="0"/>
                <w:sz w:val="18"/>
                <w:szCs w:val="18"/>
                <w:highlight w:val="none"/>
                <w:u w:val="none"/>
                <w:lang w:val="en-US" w:eastAsia="zh-CN" w:bidi="ar"/>
              </w:rPr>
              <w:t>4.</w:t>
            </w:r>
            <w:r>
              <w:rPr>
                <w:rFonts w:hint="eastAsia" w:ascii="Calibri" w:hAnsi="Calibri" w:eastAsia="宋体" w:cs="Calibri"/>
                <w:i w:val="0"/>
                <w:color w:val="000000"/>
                <w:kern w:val="0"/>
                <w:sz w:val="18"/>
                <w:szCs w:val="18"/>
                <w:highlight w:val="none"/>
                <w:u w:val="none"/>
                <w:lang w:val="en-US" w:eastAsia="zh-CN" w:bidi="ar"/>
              </w:rPr>
              <w:t>2</w:t>
            </w:r>
            <w:r>
              <w:rPr>
                <w:rFonts w:hint="default" w:ascii="Calibri" w:hAnsi="Calibri" w:eastAsia="宋体" w:cs="Calibri"/>
                <w:i w:val="0"/>
                <w:color w:val="000000"/>
                <w:kern w:val="0"/>
                <w:sz w:val="18"/>
                <w:szCs w:val="18"/>
                <w:highlight w:val="none"/>
                <w:u w:val="none"/>
                <w:lang w:val="en-US" w:eastAsia="zh-CN" w:bidi="ar"/>
              </w:rPr>
              <w:t>0%</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14.26</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6.00</w:t>
            </w:r>
            <w:r>
              <w:rPr>
                <w:rFonts w:hint="default" w:ascii="Calibri" w:hAnsi="Calibri" w:eastAsia="宋体" w:cs="Calibri"/>
                <w:i w:val="0"/>
                <w:color w:val="000000"/>
                <w:kern w:val="0"/>
                <w:sz w:val="18"/>
                <w:szCs w:val="18"/>
                <w:highlight w:val="none"/>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10.90</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24期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default" w:ascii="Calibri" w:hAnsi="Calibri" w:eastAsia="宋体" w:cs="Calibri"/>
                <w:i w:val="0"/>
                <w:color w:val="000000"/>
                <w:kern w:val="0"/>
                <w:sz w:val="18"/>
                <w:szCs w:val="18"/>
                <w:highlight w:val="none"/>
                <w:u w:val="none"/>
                <w:lang w:val="en-US" w:eastAsia="zh-CN" w:bidi="ar"/>
              </w:rPr>
              <w:t>1</w:t>
            </w:r>
            <w:r>
              <w:rPr>
                <w:rFonts w:hint="eastAsia" w:ascii="Calibri" w:hAnsi="Calibri" w:eastAsia="宋体" w:cs="Calibri"/>
                <w:i w:val="0"/>
                <w:color w:val="000000"/>
                <w:kern w:val="0"/>
                <w:sz w:val="18"/>
                <w:szCs w:val="18"/>
                <w:highlight w:val="none"/>
                <w:u w:val="none"/>
                <w:lang w:val="en-US" w:eastAsia="zh-CN" w:bidi="ar"/>
              </w:rPr>
              <w:t>2</w:t>
            </w:r>
            <w:r>
              <w:rPr>
                <w:rFonts w:hint="default" w:ascii="Calibri" w:hAnsi="Calibri" w:eastAsia="宋体" w:cs="Calibri"/>
                <w:i w:val="0"/>
                <w:color w:val="000000"/>
                <w:kern w:val="0"/>
                <w:sz w:val="18"/>
                <w:szCs w:val="18"/>
                <w:highlight w:val="none"/>
                <w:u w:val="none"/>
                <w:lang w:val="en-US" w:eastAsia="zh-CN" w:bidi="ar"/>
              </w:rPr>
              <w:t>.00%</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11.13</w:t>
            </w:r>
            <w:r>
              <w:rPr>
                <w:rFonts w:hint="default" w:ascii="Calibri" w:hAnsi="Calibri" w:eastAsia="宋体" w:cs="Calibri"/>
                <w:i w:val="0"/>
                <w:color w:val="000000"/>
                <w:kern w:val="0"/>
                <w:sz w:val="18"/>
                <w:szCs w:val="18"/>
                <w:highlight w:val="none"/>
                <w:u w:val="none"/>
                <w:lang w:val="en-US" w:eastAsia="zh-CN" w:bidi="ar"/>
              </w:rPr>
              <w:t>%</w:t>
            </w:r>
          </w:p>
        </w:tc>
      </w:tr>
    </w:tbl>
    <w:p>
      <w:pPr>
        <w:widowControl/>
        <w:ind w:firstLine="560" w:firstLineChars="200"/>
        <w:jc w:val="left"/>
        <w:rPr>
          <w:rFonts w:hint="eastAsia" w:eastAsia="仿宋_GB2312"/>
          <w:color w:val="000000"/>
          <w:kern w:val="0"/>
          <w:sz w:val="28"/>
          <w:szCs w:val="28"/>
          <w:highlight w:val="none"/>
        </w:rPr>
      </w:pPr>
      <w:r>
        <w:rPr>
          <w:rFonts w:hint="eastAsia" w:eastAsia="仿宋_GB2312"/>
          <w:color w:val="000000"/>
          <w:kern w:val="0"/>
          <w:sz w:val="28"/>
          <w:szCs w:val="28"/>
          <w:highlight w:val="none"/>
        </w:rPr>
        <w:t xml:space="preserve">注：以上分期近似折算年化利率是根据持卡人现金流计算的年化内含报酬率，并会根据客户综合情况进行浮动，且因选择办理的分期产品与账单日间隔、每月实际天数、提前终止等不同情况而有差异。 </w:t>
      </w:r>
    </w:p>
    <w:p>
      <w:pPr>
        <w:widowControl/>
        <w:ind w:firstLine="640" w:firstLineChars="200"/>
        <w:jc w:val="left"/>
        <w:rPr>
          <w:rFonts w:hint="eastAsia" w:eastAsia="仿宋_GB2312"/>
          <w:color w:val="000000"/>
          <w:kern w:val="0"/>
          <w:sz w:val="32"/>
          <w:szCs w:val="32"/>
          <w:highlight w:val="none"/>
        </w:rPr>
      </w:pPr>
      <w:r>
        <w:rPr>
          <w:rFonts w:hint="eastAsia" w:eastAsia="仿宋_GB2312"/>
          <w:color w:val="000000"/>
          <w:kern w:val="0"/>
          <w:sz w:val="32"/>
          <w:szCs w:val="32"/>
          <w:highlight w:val="none"/>
          <w:lang w:eastAsia="zh-CN"/>
        </w:rPr>
        <w:t>（</w:t>
      </w:r>
      <w:r>
        <w:rPr>
          <w:rFonts w:hint="eastAsia" w:eastAsia="仿宋_GB2312"/>
          <w:color w:val="000000"/>
          <w:kern w:val="0"/>
          <w:sz w:val="32"/>
          <w:szCs w:val="32"/>
          <w:highlight w:val="none"/>
          <w:lang w:val="en-US" w:eastAsia="zh-CN"/>
        </w:rPr>
        <w:t>六</w:t>
      </w:r>
      <w:r>
        <w:rPr>
          <w:rFonts w:hint="eastAsia" w:eastAsia="仿宋_GB2312"/>
          <w:color w:val="000000"/>
          <w:kern w:val="0"/>
          <w:sz w:val="32"/>
          <w:szCs w:val="32"/>
          <w:highlight w:val="none"/>
          <w:lang w:eastAsia="zh-CN"/>
        </w:rPr>
        <w:t>）</w:t>
      </w:r>
      <w:r>
        <w:rPr>
          <w:rFonts w:hint="eastAsia" w:eastAsia="仿宋_GB2312"/>
          <w:color w:val="000000"/>
          <w:kern w:val="0"/>
          <w:sz w:val="32"/>
          <w:szCs w:val="32"/>
          <w:highlight w:val="none"/>
          <w:lang w:val="en-US" w:eastAsia="zh-CN"/>
        </w:rPr>
        <w:t>持卡人可申请提前还款已经申请成功的分期业务，但须一次性偿还剩余的分期本金，本行已收取的分期利息不予退还，且持卡人已还期数</w:t>
      </w:r>
      <w:r>
        <w:rPr>
          <w:rFonts w:hint="eastAsia" w:ascii="仿宋_GB2312" w:hAnsi="仿宋_GB2312" w:eastAsia="仿宋_GB2312" w:cs="仿宋_GB2312"/>
          <w:color w:val="000000"/>
          <w:kern w:val="0"/>
          <w:sz w:val="32"/>
          <w:szCs w:val="32"/>
          <w:highlight w:val="none"/>
          <w:lang w:val="en-US" w:eastAsia="zh-CN"/>
        </w:rPr>
        <w:t>＜6</w:t>
      </w:r>
      <w:r>
        <w:rPr>
          <w:rFonts w:hint="eastAsia" w:eastAsia="仿宋_GB2312"/>
          <w:color w:val="000000"/>
          <w:kern w:val="0"/>
          <w:sz w:val="32"/>
          <w:szCs w:val="32"/>
          <w:highlight w:val="none"/>
          <w:lang w:val="en-US" w:eastAsia="zh-CN"/>
        </w:rPr>
        <w:t>期时，需按剩余分期本金金额的</w:t>
      </w:r>
      <w:r>
        <w:rPr>
          <w:rFonts w:hint="eastAsia" w:ascii="仿宋_GB2312" w:hAnsi="仿宋_GB2312" w:eastAsia="仿宋_GB2312" w:cs="仿宋_GB2312"/>
          <w:color w:val="000000"/>
          <w:kern w:val="0"/>
          <w:sz w:val="32"/>
          <w:szCs w:val="32"/>
          <w:highlight w:val="none"/>
          <w:lang w:val="en-US" w:eastAsia="zh-CN"/>
        </w:rPr>
        <w:t>3%</w:t>
      </w:r>
      <w:r>
        <w:rPr>
          <w:rFonts w:hint="eastAsia" w:eastAsia="仿宋_GB2312"/>
          <w:color w:val="000000"/>
          <w:kern w:val="0"/>
          <w:sz w:val="32"/>
          <w:szCs w:val="32"/>
          <w:highlight w:val="none"/>
          <w:lang w:val="en-US" w:eastAsia="zh-CN"/>
        </w:rPr>
        <w:t>支付分期提前还款违约金</w:t>
      </w:r>
      <w:r>
        <w:rPr>
          <w:rFonts w:hint="eastAsia" w:eastAsia="仿宋_GB2312"/>
          <w:color w:val="000000"/>
          <w:kern w:val="0"/>
          <w:sz w:val="32"/>
          <w:szCs w:val="32"/>
          <w:highlight w:val="none"/>
        </w:rPr>
        <w:t xml:space="preserve">。本行按照实际占用的分期金额及分期期限计收利息。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六、约定条款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跨行分期资金不得用于以下目的和用途: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1.不得用于偿还贷款；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2.不得以任何形式进入证券市场，或用于股本权益性投资、有价证券与期货等投机经营、民间借贷等；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3.不得用于房地产项目开发、购买住房；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4.不得用于生产经营、投资等非消费领域或其他政策限制或者禁止性领域；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5.其他不符合国家法律法规及监管规定的情况。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成功申请跨行分期业务后，将在额度内冻结其申请分期的金额，冻结额度会随持卡人每期还款而逐期减少，直至持卡人最后一期或提前清偿分期余额。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信用卡账户如有溢缴款，该溢缴款不能自动用于提前清偿跨行分期业务剩余本金及利息。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（四）跨行分期业务每期入账的应还本金金额及利息不得再参与本行其他分期业务。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（五）跨行分期业务每期入账的应还本金金额及利息，不参与信用卡积分计划。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rPr>
        <w:t xml:space="preserve">（六）申请跨行分期业务的账户逾期期数达到3期时，系统将对该账户下存续的分期交易强制提前终止，分期付款剩余本金全额计入当期账单，剩余分期息费不再收取。 </w:t>
      </w:r>
      <w:r>
        <w:rPr>
          <w:rFonts w:hint="eastAsia" w:ascii="仿宋_GB2312" w:hAnsi="仿宋_GB2312" w:eastAsia="仿宋_GB2312" w:cs="仿宋_GB2312"/>
          <w:i w:val="0"/>
          <w:iCs w:val="0"/>
          <w:caps w:val="0"/>
          <w:color w:val="000000"/>
          <w:spacing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七）持卡人在跨行分期存续期间发生换卡、续卡，跨行分期不因此而终止，将自动转入新卡片。持卡人若卡片挂失、到期不再续卡，跨行分期不受影响正常进行。持卡人在跨行分期分摊完毕之前办理销卡或销户的，需提前清偿分期余额及其他欠款，方可办理销户的相关手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（八）若持卡人在跨行分期业务期间，发生以下情况，本行有权要求持卡人一次性清偿剩余本金、息费（若有）：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1.信用卡账户因非正常原因被冻结，或信用卡被停用、收回、注销。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2.申请人未能按期缴付应付未付金额或信用卡账户中的其他结欠款项。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3.申请人违反了本行信用卡产品的章程、领用协议或本条款中的规定。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4.申请人未能履行与河北银行股份有限公司其他机构及其他单位或个人订立的其他信用卡、借款、融资或担保等合同义务的。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5.申请人涉及刑事案件、诉讼、仲裁、纠纷或因羁押、刑事拘留</w:t>
      </w:r>
      <w:bookmarkStart w:id="0" w:name="_GoBack"/>
      <w:bookmarkEnd w:id="0"/>
      <w:r>
        <w:rPr>
          <w:rFonts w:hint="eastAsia" w:ascii="仿宋_GB2312" w:hAnsi="仿宋_GB2312" w:eastAsia="仿宋_GB2312" w:cs="仿宋_GB2312"/>
          <w:i w:val="0"/>
          <w:iCs w:val="0"/>
          <w:caps w:val="0"/>
          <w:color w:val="000000"/>
          <w:spacing w:val="0"/>
          <w:sz w:val="32"/>
          <w:szCs w:val="32"/>
          <w:highlight w:val="none"/>
        </w:rPr>
        <w:t xml:space="preserve">等被限制人身自由，对其还款能力产生不利影响。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6.申请人被法院及其他权力机关监管、查封、冻结其财产。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7.申请人向本行提供的资料虚假或隐瞒重要事实。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8.申请人已无清偿能力或身故。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9.申请人身份证件过期未及时更新的，命中本行反洗钱风险名单的，申请人信息与先前本行已经掌握的相关信息不一致或相互矛盾、客户还款资金来源存在异常。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10.本行有正当理由或基于风险控管因素认为该账户不再适合办理跨行分期业务的。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（九）本行将对持卡人使用资金的情况进行监控，请持卡人妥善保存相关消费凭证，以备本行查验，如发现持卡人违反资金使用用途，本行有权要求持卡人提前清偿未还本金。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十）本行有权依据国家有关规定及业务需要对本业务条款及价格标准进行变更，上述调整以网点、网站等方式对外公告，不再另行通知持卡人。公告后开始施行公告内容，自公告施行之日公告内容构成对本行与持卡人间协议约定的有效修改和补充。如果持卡人不同意接受本行的调整内容，应在公告施行之前联系本行（400-612-9999）进行协商或根据本行的业务规则申请终止跨行分期业务。持卡人未在公告施行日之前申请终止服务的，视为接受本行的相关调整。若持卡人既不申请终止服务，也不执行调整后的规则，则本行有权选择终止跨行分期服务，并要求持卡人一次性偿还全部剩余款项及相应息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十一）申请办理本业务前，持卡人应认真阅读本条款及细则内容。如对条款及细则内容有疑问的，持卡人应在申办本业务前致电400-612-9999进行详细询问和了解。申请办理本业务前，持卡人应确保自己对以上条款的含义及相应的法律后果已全部通晓并充分理解，并同意遵守以上条款，自愿承担可能出现的相关风险。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（十二）其他未尽事宜依据《河北银行信用卡章程》、《河北银行个人信用卡领用协议》及其他业务规定执行。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七、潜在风险和违约责任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（一）申请人不得通过虚假交易、非法工具或协助伙同他人等手段骗取银行资金，否则将承担刑事责任。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（二）申请人如存在以下行为，除需承担因此产生的债务及银行的损失外，仍应按金融监管机构的规定或法律相关规定承担相应责任：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1.申请人所获信贷资金用于偿还贷款、房地产、生产经营、投资等非消费领域，用于赌博、电信诈骗、购买非法虚拟货币等其他用途。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2.申请人出租、出借、出售个人信用卡，或转卖信用卡及账户信息。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3.申请人从事洗钱、欺诈、恐怖融资等违反法律、监管规定的行为。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（三）申请人应了解信用卡相关法律法规，非法使用信用卡行为将依照相关法律法规予以处理。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07918D"/>
    <w:multiLevelType w:val="singleLevel"/>
    <w:tmpl w:val="C807918D"/>
    <w:lvl w:ilvl="0" w:tentative="0">
      <w:start w:val="1"/>
      <w:numFmt w:val="chineseCounting"/>
      <w:suff w:val="nothing"/>
      <w:lvlText w:val="（%1）"/>
      <w:lvlJc w:val="left"/>
      <w:rPr>
        <w:rFonts w:hint="eastAsia"/>
      </w:rPr>
    </w:lvl>
  </w:abstractNum>
  <w:abstractNum w:abstractNumId="1">
    <w:nsid w:val="1974FE02"/>
    <w:multiLevelType w:val="singleLevel"/>
    <w:tmpl w:val="1974FE02"/>
    <w:lvl w:ilvl="0" w:tentative="0">
      <w:start w:val="1"/>
      <w:numFmt w:val="chineseCounting"/>
      <w:suff w:val="nothing"/>
      <w:lvlText w:val="（%1）"/>
      <w:lvlJc w:val="left"/>
      <w:rPr>
        <w:rFonts w:hint="eastAsia"/>
      </w:rPr>
    </w:lvl>
  </w:abstractNum>
  <w:abstractNum w:abstractNumId="2">
    <w:nsid w:val="4106FE1B"/>
    <w:multiLevelType w:val="singleLevel"/>
    <w:tmpl w:val="4106FE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CC"/>
    <w:rsid w:val="00062D59"/>
    <w:rsid w:val="000C14EE"/>
    <w:rsid w:val="000C3095"/>
    <w:rsid w:val="001451A0"/>
    <w:rsid w:val="00150066"/>
    <w:rsid w:val="001835BA"/>
    <w:rsid w:val="001943C8"/>
    <w:rsid w:val="001C30F4"/>
    <w:rsid w:val="001D7EAC"/>
    <w:rsid w:val="00301377"/>
    <w:rsid w:val="00321E45"/>
    <w:rsid w:val="00390D71"/>
    <w:rsid w:val="00395CB2"/>
    <w:rsid w:val="00446278"/>
    <w:rsid w:val="00452F03"/>
    <w:rsid w:val="004B568D"/>
    <w:rsid w:val="00533511"/>
    <w:rsid w:val="00535C4F"/>
    <w:rsid w:val="00536CC2"/>
    <w:rsid w:val="0058565F"/>
    <w:rsid w:val="00777085"/>
    <w:rsid w:val="007E4187"/>
    <w:rsid w:val="008369CA"/>
    <w:rsid w:val="00853195"/>
    <w:rsid w:val="00894498"/>
    <w:rsid w:val="008B1435"/>
    <w:rsid w:val="008E7039"/>
    <w:rsid w:val="00926E73"/>
    <w:rsid w:val="00935D3F"/>
    <w:rsid w:val="00A34F29"/>
    <w:rsid w:val="00A36CA7"/>
    <w:rsid w:val="00AA5852"/>
    <w:rsid w:val="00AC3ACC"/>
    <w:rsid w:val="00BC2F45"/>
    <w:rsid w:val="00C04641"/>
    <w:rsid w:val="00C522CF"/>
    <w:rsid w:val="00C86AF1"/>
    <w:rsid w:val="00CB5449"/>
    <w:rsid w:val="00DC7E8F"/>
    <w:rsid w:val="00E07165"/>
    <w:rsid w:val="00E268C2"/>
    <w:rsid w:val="00E316FC"/>
    <w:rsid w:val="00E820D0"/>
    <w:rsid w:val="00E92DF4"/>
    <w:rsid w:val="00EC61DD"/>
    <w:rsid w:val="00F413B8"/>
    <w:rsid w:val="00F81758"/>
    <w:rsid w:val="112C2988"/>
    <w:rsid w:val="22516F0D"/>
    <w:rsid w:val="46D76362"/>
    <w:rsid w:val="499E03AD"/>
    <w:rsid w:val="6E7019AB"/>
    <w:rsid w:val="7B2F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7">
    <w:name w:val="Strong"/>
    <w:qFormat/>
    <w:uiPriority w:val="22"/>
    <w:rPr>
      <w:b/>
      <w:bC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Words>
  <Characters>403</Characters>
  <Lines>3</Lines>
  <Paragraphs>1</Paragraphs>
  <TotalTime>0</TotalTime>
  <ScaleCrop>false</ScaleCrop>
  <LinksUpToDate>false</LinksUpToDate>
  <CharactersWithSpaces>472</CharactersWithSpaces>
  <Application>WPS Office_11.8.2.8646_F1E327BC-269C-435d-A152-05C5408002CA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2022-10-27T09:15:00Z</dcterms:created>
  <dc:creator>朱唯薇</dc:creator>
  <cp:lastModifiedBy>刘丽娟1</cp:lastModifiedBy>
  <dcterms:modified xsi:type="dcterms:W3CDTF">2025-06-06T09:47:23Z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2052-11.8.2.8646</vt:lpwstr>
  </property>
</Properties>
</file>